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481D0" w14:textId="77777777" w:rsidR="009416F7" w:rsidRDefault="009416F7" w:rsidP="009416F7">
      <w:pPr>
        <w:pStyle w:val="a4"/>
        <w:snapToGrid w:val="0"/>
        <w:spacing w:before="0" w:line="360" w:lineRule="auto"/>
      </w:pPr>
      <w:bookmarkStart w:id="0" w:name="【技轉公告】「水禽雷氏桿菌症不活化菌苗(第1、2和6血清型)」非專屬授權受理日期"/>
      <w:bookmarkEnd w:id="0"/>
      <w:r>
        <w:rPr>
          <w:spacing w:val="-2"/>
        </w:rPr>
        <w:t>【技轉公告】</w:t>
      </w:r>
    </w:p>
    <w:p w14:paraId="6604C8ED" w14:textId="331751F4" w:rsidR="009416F7" w:rsidRDefault="009416F7" w:rsidP="009416F7">
      <w:pPr>
        <w:pStyle w:val="a4"/>
        <w:snapToGrid w:val="0"/>
        <w:spacing w:before="0" w:line="360" w:lineRule="auto"/>
        <w:ind w:leftChars="-1" w:left="-2" w:right="-7" w:firstLine="2"/>
        <w:rPr>
          <w:spacing w:val="-2"/>
        </w:rPr>
      </w:pPr>
      <w:r>
        <w:rPr>
          <w:spacing w:val="-2"/>
        </w:rPr>
        <w:t>「</w:t>
      </w:r>
      <w:r w:rsidR="000C137B" w:rsidRPr="000C137B">
        <w:rPr>
          <w:rFonts w:hint="eastAsia"/>
          <w:spacing w:val="-2"/>
        </w:rPr>
        <w:t>豬流行性下痢</w:t>
      </w:r>
      <w:proofErr w:type="gramStart"/>
      <w:r w:rsidR="000C137B" w:rsidRPr="000C137B">
        <w:rPr>
          <w:rFonts w:hint="eastAsia"/>
          <w:spacing w:val="-2"/>
        </w:rPr>
        <w:t>不</w:t>
      </w:r>
      <w:proofErr w:type="gramEnd"/>
      <w:r w:rsidR="000C137B" w:rsidRPr="000C137B">
        <w:rPr>
          <w:rFonts w:hint="eastAsia"/>
          <w:spacing w:val="-2"/>
        </w:rPr>
        <w:t>活化疫苗</w:t>
      </w:r>
      <w:r>
        <w:rPr>
          <w:spacing w:val="-2"/>
        </w:rPr>
        <w:t>」非專屬</w:t>
      </w:r>
      <w:r w:rsidR="00B16B7B">
        <w:rPr>
          <w:rFonts w:hint="eastAsia"/>
          <w:spacing w:val="-2"/>
        </w:rPr>
        <w:t>技術</w:t>
      </w:r>
      <w:r>
        <w:rPr>
          <w:spacing w:val="-2"/>
        </w:rPr>
        <w:t>授權受理日期與相關注意事項</w:t>
      </w:r>
    </w:p>
    <w:p w14:paraId="0324B7EC" w14:textId="77777777" w:rsidR="00280B3D" w:rsidRDefault="009416F7" w:rsidP="00AA511E">
      <w:pPr>
        <w:pStyle w:val="a3"/>
        <w:snapToGrid w:val="0"/>
        <w:spacing w:beforeLines="100" w:before="240" w:line="360" w:lineRule="auto"/>
        <w:ind w:right="-6"/>
        <w:rPr>
          <w:spacing w:val="-6"/>
        </w:rPr>
      </w:pPr>
      <w:r>
        <w:rPr>
          <w:rFonts w:hint="eastAsia"/>
          <w:spacing w:val="-2"/>
        </w:rPr>
        <w:t>一、</w:t>
      </w:r>
      <w:r w:rsidR="00280B3D">
        <w:rPr>
          <w:spacing w:val="-2"/>
        </w:rPr>
        <w:t>依據</w:t>
      </w:r>
      <w:r w:rsidR="00280B3D">
        <w:t>「農業部農業智慧財產權審議會第23次會議」</w:t>
      </w:r>
      <w:r w:rsidR="00280B3D">
        <w:rPr>
          <w:spacing w:val="-2"/>
        </w:rPr>
        <w:t>決議辦</w:t>
      </w:r>
      <w:r w:rsidR="00280B3D">
        <w:rPr>
          <w:spacing w:val="-6"/>
        </w:rPr>
        <w:t>理。</w:t>
      </w:r>
    </w:p>
    <w:p w14:paraId="32B09AAC" w14:textId="77777777" w:rsidR="0046609C" w:rsidRDefault="009416F7" w:rsidP="009416F7">
      <w:pPr>
        <w:pStyle w:val="a3"/>
        <w:snapToGrid w:val="0"/>
        <w:spacing w:line="360" w:lineRule="auto"/>
        <w:ind w:right="-7"/>
      </w:pPr>
      <w:r>
        <w:rPr>
          <w:rFonts w:hint="eastAsia"/>
        </w:rPr>
        <w:t>二、</w:t>
      </w:r>
      <w:r w:rsidR="00280B3D">
        <w:rPr>
          <w:rFonts w:hint="eastAsia"/>
        </w:rPr>
        <w:t>公告內容</w:t>
      </w:r>
      <w:r>
        <w:rPr>
          <w:rFonts w:hint="eastAsia"/>
        </w:rPr>
        <w:t>：</w:t>
      </w:r>
    </w:p>
    <w:p w14:paraId="3C2A8C55" w14:textId="2393F07E" w:rsidR="00280B3D" w:rsidRDefault="00280B3D" w:rsidP="009416F7">
      <w:pPr>
        <w:pStyle w:val="a3"/>
        <w:numPr>
          <w:ilvl w:val="0"/>
          <w:numId w:val="2"/>
        </w:numPr>
        <w:snapToGrid w:val="0"/>
        <w:spacing w:line="360" w:lineRule="auto"/>
        <w:ind w:right="-7"/>
      </w:pPr>
      <w:r>
        <w:rPr>
          <w:rFonts w:hint="eastAsia"/>
        </w:rPr>
        <w:t>技術名稱：</w:t>
      </w:r>
      <w:r w:rsidR="00E30AF5">
        <w:rPr>
          <w:spacing w:val="-2"/>
        </w:rPr>
        <w:t>「</w:t>
      </w:r>
      <w:r w:rsidR="000C137B" w:rsidRPr="000C137B">
        <w:rPr>
          <w:rFonts w:hint="eastAsia"/>
          <w:spacing w:val="-2"/>
        </w:rPr>
        <w:t>豬流行性下痢</w:t>
      </w:r>
      <w:proofErr w:type="gramStart"/>
      <w:r w:rsidR="000C137B" w:rsidRPr="000C137B">
        <w:rPr>
          <w:rFonts w:hint="eastAsia"/>
          <w:spacing w:val="-2"/>
        </w:rPr>
        <w:t>不</w:t>
      </w:r>
      <w:proofErr w:type="gramEnd"/>
      <w:r w:rsidR="000C137B" w:rsidRPr="000C137B">
        <w:rPr>
          <w:rFonts w:hint="eastAsia"/>
          <w:spacing w:val="-2"/>
        </w:rPr>
        <w:t>活化疫苗</w:t>
      </w:r>
      <w:r w:rsidR="00E30AF5">
        <w:rPr>
          <w:spacing w:val="-2"/>
        </w:rPr>
        <w:t>」</w:t>
      </w:r>
      <w:r>
        <w:rPr>
          <w:spacing w:val="-2"/>
        </w:rPr>
        <w:t>。</w:t>
      </w:r>
    </w:p>
    <w:p w14:paraId="47566D2C" w14:textId="0FAAD18D" w:rsidR="00280B3D" w:rsidRDefault="00280B3D" w:rsidP="009416F7">
      <w:pPr>
        <w:pStyle w:val="a3"/>
        <w:numPr>
          <w:ilvl w:val="0"/>
          <w:numId w:val="2"/>
        </w:numPr>
        <w:snapToGrid w:val="0"/>
        <w:spacing w:line="360" w:lineRule="auto"/>
        <w:ind w:right="-7"/>
      </w:pPr>
      <w:r>
        <w:rPr>
          <w:rFonts w:hint="eastAsia"/>
        </w:rPr>
        <w:t>技術內容：</w:t>
      </w:r>
      <w:r w:rsidR="000C137B" w:rsidRPr="000C137B">
        <w:rPr>
          <w:rFonts w:hint="eastAsia"/>
        </w:rPr>
        <w:t>豬流行性下痢</w:t>
      </w:r>
      <w:proofErr w:type="gramStart"/>
      <w:r w:rsidR="000C137B" w:rsidRPr="000C137B">
        <w:rPr>
          <w:rFonts w:hint="eastAsia"/>
        </w:rPr>
        <w:t>不</w:t>
      </w:r>
      <w:proofErr w:type="gramEnd"/>
      <w:r w:rsidR="000C137B" w:rsidRPr="000C137B">
        <w:rPr>
          <w:rFonts w:hint="eastAsia"/>
        </w:rPr>
        <w:t>活化疫苗</w:t>
      </w:r>
      <w:r>
        <w:rPr>
          <w:rFonts w:hint="eastAsia"/>
        </w:rPr>
        <w:t>生產製造及</w:t>
      </w:r>
      <w:r w:rsidRPr="00280B3D">
        <w:t>品質管理檢驗技術</w:t>
      </w:r>
      <w:r w:rsidR="00731663">
        <w:rPr>
          <w:spacing w:val="-2"/>
        </w:rPr>
        <w:t>（</w:t>
      </w:r>
      <w:r>
        <w:t>詳如附件一</w:t>
      </w:r>
      <w:r w:rsidR="00731663">
        <w:rPr>
          <w:spacing w:val="-2"/>
        </w:rPr>
        <w:t>）</w:t>
      </w:r>
      <w:r>
        <w:t>。</w:t>
      </w:r>
    </w:p>
    <w:p w14:paraId="20A50490" w14:textId="77777777" w:rsidR="00465BF4" w:rsidRDefault="00280B3D" w:rsidP="00465BF4">
      <w:pPr>
        <w:pStyle w:val="a3"/>
        <w:numPr>
          <w:ilvl w:val="0"/>
          <w:numId w:val="2"/>
        </w:numPr>
        <w:snapToGrid w:val="0"/>
        <w:spacing w:line="360" w:lineRule="auto"/>
        <w:ind w:right="-7"/>
      </w:pPr>
      <w:r>
        <w:rPr>
          <w:rFonts w:hint="eastAsia"/>
        </w:rPr>
        <w:t>廠商資格</w:t>
      </w:r>
      <w:r w:rsidR="00E30AF5">
        <w:rPr>
          <w:rFonts w:hint="eastAsia"/>
        </w:rPr>
        <w:t>：</w:t>
      </w:r>
    </w:p>
    <w:p w14:paraId="24E6D0BF" w14:textId="7B3263EA" w:rsidR="00465BF4" w:rsidRDefault="00465BF4" w:rsidP="000C137B">
      <w:pPr>
        <w:pStyle w:val="a3"/>
        <w:numPr>
          <w:ilvl w:val="1"/>
          <w:numId w:val="2"/>
        </w:numPr>
        <w:snapToGrid w:val="0"/>
        <w:spacing w:line="360" w:lineRule="auto"/>
        <w:ind w:right="-7"/>
      </w:pPr>
      <w:r>
        <w:rPr>
          <w:rFonts w:hint="eastAsia"/>
        </w:rPr>
        <w:t>位於我國管轄區域內之動物用生物藥品製造廠，並領有我國合法工廠登記證。且前述應具備之製造廠應具有農業部動植物防疫檢疫署優良藥品製造標準</w:t>
      </w:r>
      <w:r w:rsidR="00731663">
        <w:rPr>
          <w:spacing w:val="-2"/>
        </w:rPr>
        <w:t>（</w:t>
      </w:r>
      <w:r>
        <w:t>GMP</w:t>
      </w:r>
      <w:r w:rsidR="00731663">
        <w:rPr>
          <w:spacing w:val="-2"/>
        </w:rPr>
        <w:t>）</w:t>
      </w:r>
      <w:r>
        <w:t>追蹤檢查評列為P級之動物用藥品製造廠資格。</w:t>
      </w:r>
    </w:p>
    <w:p w14:paraId="59A71816" w14:textId="77416D57" w:rsidR="00280B3D" w:rsidRDefault="00465BF4" w:rsidP="000C137B">
      <w:pPr>
        <w:pStyle w:val="a3"/>
        <w:numPr>
          <w:ilvl w:val="1"/>
          <w:numId w:val="2"/>
        </w:numPr>
        <w:snapToGrid w:val="0"/>
        <w:spacing w:line="360" w:lineRule="auto"/>
        <w:ind w:right="-7"/>
      </w:pPr>
      <w:r>
        <w:t>為台灣區動物用醫藥保健工業同業公會會員。</w:t>
      </w:r>
    </w:p>
    <w:p w14:paraId="7A53DB6E" w14:textId="69F814CD" w:rsidR="00280B3D" w:rsidRDefault="00280B3D" w:rsidP="009416F7">
      <w:pPr>
        <w:pStyle w:val="a3"/>
        <w:numPr>
          <w:ilvl w:val="0"/>
          <w:numId w:val="2"/>
        </w:numPr>
        <w:snapToGrid w:val="0"/>
        <w:spacing w:line="360" w:lineRule="auto"/>
        <w:ind w:right="-7"/>
      </w:pPr>
      <w:r>
        <w:rPr>
          <w:rFonts w:hint="eastAsia"/>
        </w:rPr>
        <w:t>授權方式：非專屬</w:t>
      </w:r>
      <w:r w:rsidR="00B16B7B">
        <w:rPr>
          <w:rFonts w:hint="eastAsia"/>
        </w:rPr>
        <w:t>技術</w:t>
      </w:r>
      <w:r>
        <w:rPr>
          <w:rFonts w:hint="eastAsia"/>
        </w:rPr>
        <w:t>授權。</w:t>
      </w:r>
    </w:p>
    <w:p w14:paraId="7E160A30" w14:textId="77777777" w:rsidR="009416F7" w:rsidRDefault="009416F7" w:rsidP="009416F7">
      <w:pPr>
        <w:pStyle w:val="a3"/>
        <w:numPr>
          <w:ilvl w:val="0"/>
          <w:numId w:val="2"/>
        </w:numPr>
        <w:snapToGrid w:val="0"/>
        <w:spacing w:line="360" w:lineRule="auto"/>
        <w:ind w:right="-7"/>
      </w:pPr>
      <w:r>
        <w:rPr>
          <w:rFonts w:hint="eastAsia"/>
        </w:rPr>
        <w:t>授權期限：10</w:t>
      </w:r>
      <w:r>
        <w:t>年。</w:t>
      </w:r>
    </w:p>
    <w:p w14:paraId="2E91BDC3" w14:textId="52FE385C" w:rsidR="00280B3D" w:rsidRDefault="00280B3D" w:rsidP="009416F7">
      <w:pPr>
        <w:pStyle w:val="a3"/>
        <w:numPr>
          <w:ilvl w:val="0"/>
          <w:numId w:val="2"/>
        </w:numPr>
        <w:snapToGrid w:val="0"/>
        <w:spacing w:line="360" w:lineRule="auto"/>
        <w:ind w:right="-7"/>
      </w:pPr>
      <w:r>
        <w:rPr>
          <w:rFonts w:hint="eastAsia"/>
        </w:rPr>
        <w:t>授權地區：限我國管轄區域</w:t>
      </w:r>
      <w:r w:rsidR="00943CFE" w:rsidRPr="00943CFE">
        <w:t>(臺灣、澎湖、金門、馬祖及其他附屬島嶼)</w:t>
      </w:r>
      <w:r>
        <w:rPr>
          <w:rFonts w:hint="eastAsia"/>
        </w:rPr>
        <w:t>。</w:t>
      </w:r>
    </w:p>
    <w:p w14:paraId="2829B217" w14:textId="2313D971" w:rsidR="00280B3D" w:rsidRDefault="00280B3D" w:rsidP="009416F7">
      <w:pPr>
        <w:pStyle w:val="a3"/>
        <w:numPr>
          <w:ilvl w:val="0"/>
          <w:numId w:val="2"/>
        </w:numPr>
        <w:snapToGrid w:val="0"/>
        <w:spacing w:line="360" w:lineRule="auto"/>
        <w:ind w:right="-7"/>
      </w:pPr>
      <w:r>
        <w:rPr>
          <w:rFonts w:hint="eastAsia"/>
        </w:rPr>
        <w:t>授權金：</w:t>
      </w:r>
      <w:r>
        <w:rPr>
          <w:spacing w:val="-2"/>
        </w:rPr>
        <w:t>授權金參考數額為新臺幣</w:t>
      </w:r>
      <w:r w:rsidR="000C137B">
        <w:rPr>
          <w:rFonts w:hint="eastAsia"/>
          <w:spacing w:val="-2"/>
        </w:rPr>
        <w:t>300</w:t>
      </w:r>
      <w:r>
        <w:rPr>
          <w:spacing w:val="-2"/>
        </w:rPr>
        <w:t>萬元整</w:t>
      </w:r>
      <w:r w:rsidR="007D53F1">
        <w:rPr>
          <w:spacing w:val="-2"/>
        </w:rPr>
        <w:t>以上</w:t>
      </w:r>
      <w:r>
        <w:rPr>
          <w:spacing w:val="-2"/>
        </w:rPr>
        <w:t>（稅前），</w:t>
      </w:r>
      <w:r w:rsidR="009416F7">
        <w:rPr>
          <w:rFonts w:hint="eastAsia"/>
          <w:spacing w:val="-2"/>
        </w:rPr>
        <w:t>權利金</w:t>
      </w:r>
      <w:r>
        <w:rPr>
          <w:spacing w:val="-2"/>
        </w:rPr>
        <w:t>為產品銷售</w:t>
      </w:r>
      <w:r w:rsidR="009416F7">
        <w:rPr>
          <w:rFonts w:hint="eastAsia"/>
          <w:spacing w:val="-2"/>
        </w:rPr>
        <w:t>總</w:t>
      </w:r>
      <w:r>
        <w:rPr>
          <w:spacing w:val="-2"/>
        </w:rPr>
        <w:t>額之</w:t>
      </w:r>
      <w:r w:rsidR="000C137B">
        <w:rPr>
          <w:rFonts w:asciiTheme="minorEastAsia" w:eastAsiaTheme="minorEastAsia" w:hAnsiTheme="minorEastAsia" w:hint="eastAsia"/>
          <w:spacing w:val="-2"/>
        </w:rPr>
        <w:t>5</w:t>
      </w:r>
      <w:r>
        <w:rPr>
          <w:rFonts w:ascii="Arial" w:eastAsia="Arial"/>
          <w:spacing w:val="-2"/>
        </w:rPr>
        <w:t>%</w:t>
      </w:r>
      <w:r>
        <w:rPr>
          <w:spacing w:val="-2"/>
        </w:rPr>
        <w:t>以上（稅前）；授權金於契約生效後</w:t>
      </w:r>
      <w:r>
        <w:rPr>
          <w:rFonts w:ascii="Arial" w:eastAsia="Arial"/>
          <w:spacing w:val="-2"/>
        </w:rPr>
        <w:t>15</w:t>
      </w:r>
      <w:r>
        <w:rPr>
          <w:spacing w:val="-2"/>
        </w:rPr>
        <w:t>日一次付</w:t>
      </w:r>
      <w:r w:rsidR="00A02990">
        <w:rPr>
          <w:rFonts w:hint="eastAsia"/>
          <w:spacing w:val="-2"/>
        </w:rPr>
        <w:t>清</w:t>
      </w:r>
      <w:r>
        <w:rPr>
          <w:rFonts w:hint="eastAsia"/>
          <w:spacing w:val="-2"/>
        </w:rPr>
        <w:t>。</w:t>
      </w:r>
    </w:p>
    <w:p w14:paraId="62A1E46F" w14:textId="77777777" w:rsidR="0046609C" w:rsidRDefault="00D5569C" w:rsidP="009416F7">
      <w:pPr>
        <w:pStyle w:val="a3"/>
        <w:numPr>
          <w:ilvl w:val="0"/>
          <w:numId w:val="2"/>
        </w:numPr>
        <w:snapToGrid w:val="0"/>
        <w:spacing w:line="360" w:lineRule="auto"/>
        <w:ind w:right="-7"/>
      </w:pPr>
      <w:r>
        <w:t>申請業者須檢</w:t>
      </w:r>
      <w:proofErr w:type="gramStart"/>
      <w:r>
        <w:t>附</w:t>
      </w:r>
      <w:proofErr w:type="gramEnd"/>
      <w:r>
        <w:t>：</w:t>
      </w:r>
    </w:p>
    <w:p w14:paraId="77C56C7C" w14:textId="77777777" w:rsidR="0046609C" w:rsidRDefault="00D5569C" w:rsidP="009416F7">
      <w:pPr>
        <w:pStyle w:val="a3"/>
        <w:numPr>
          <w:ilvl w:val="0"/>
          <w:numId w:val="4"/>
        </w:numPr>
        <w:snapToGrid w:val="0"/>
        <w:spacing w:line="360" w:lineRule="auto"/>
        <w:ind w:left="709" w:right="-7" w:hanging="283"/>
        <w:rPr>
          <w:spacing w:val="-5"/>
        </w:rPr>
      </w:pPr>
      <w:r>
        <w:t>研發成果技術移轉廠商申請表（附件二</w:t>
      </w:r>
      <w:r>
        <w:rPr>
          <w:spacing w:val="-5"/>
        </w:rPr>
        <w:t>）</w:t>
      </w:r>
      <w:r w:rsidR="00A20F53">
        <w:rPr>
          <w:rFonts w:hint="eastAsia"/>
          <w:spacing w:val="-5"/>
        </w:rPr>
        <w:t>；</w:t>
      </w:r>
    </w:p>
    <w:p w14:paraId="6BDFBC0B" w14:textId="77777777" w:rsidR="003A120B" w:rsidRDefault="00D5569C" w:rsidP="009416F7">
      <w:pPr>
        <w:pStyle w:val="a3"/>
        <w:numPr>
          <w:ilvl w:val="0"/>
          <w:numId w:val="4"/>
        </w:numPr>
        <w:snapToGrid w:val="0"/>
        <w:spacing w:line="360" w:lineRule="auto"/>
        <w:ind w:left="709" w:right="-7" w:hanging="283"/>
      </w:pPr>
      <w:r>
        <w:rPr>
          <w:spacing w:val="-2"/>
        </w:rPr>
        <w:t>申請授權意願書（附件三）等，向本所提出申請，經審核通過並與本所簽訂契約（附件四）後據以實施。</w:t>
      </w:r>
    </w:p>
    <w:p w14:paraId="013DDA86" w14:textId="4AFA2656" w:rsidR="0046609C" w:rsidRDefault="00D5569C" w:rsidP="009416F7">
      <w:pPr>
        <w:pStyle w:val="a3"/>
        <w:numPr>
          <w:ilvl w:val="0"/>
          <w:numId w:val="2"/>
        </w:numPr>
        <w:snapToGrid w:val="0"/>
        <w:spacing w:line="360" w:lineRule="auto"/>
        <w:ind w:right="-7"/>
        <w:rPr>
          <w:spacing w:val="-2"/>
        </w:rPr>
      </w:pPr>
      <w:r>
        <w:rPr>
          <w:spacing w:val="-2"/>
        </w:rPr>
        <w:t>申請期限：自公告日起至</w:t>
      </w:r>
      <w:r w:rsidR="0046609C">
        <w:rPr>
          <w:rFonts w:hint="eastAsia"/>
          <w:spacing w:val="-2"/>
        </w:rPr>
        <w:t>11</w:t>
      </w:r>
      <w:r w:rsidR="00791864">
        <w:rPr>
          <w:rFonts w:hint="eastAsia"/>
          <w:spacing w:val="-2"/>
        </w:rPr>
        <w:t>5</w:t>
      </w:r>
      <w:r>
        <w:rPr>
          <w:spacing w:val="-2"/>
        </w:rPr>
        <w:t>年</w:t>
      </w:r>
      <w:r w:rsidR="006D6F34">
        <w:rPr>
          <w:rFonts w:hint="eastAsia"/>
          <w:spacing w:val="-2"/>
        </w:rPr>
        <w:t>6</w:t>
      </w:r>
      <w:r>
        <w:rPr>
          <w:spacing w:val="-2"/>
        </w:rPr>
        <w:t>月</w:t>
      </w:r>
      <w:r w:rsidR="006D6F34">
        <w:rPr>
          <w:rFonts w:hint="eastAsia"/>
          <w:spacing w:val="-2"/>
        </w:rPr>
        <w:t>30</w:t>
      </w:r>
      <w:r>
        <w:rPr>
          <w:spacing w:val="-2"/>
        </w:rPr>
        <w:t>日止，郵寄資料者，以郵戳為</w:t>
      </w:r>
      <w:proofErr w:type="gramStart"/>
      <w:r>
        <w:rPr>
          <w:spacing w:val="-2"/>
        </w:rPr>
        <w:t>憑</w:t>
      </w:r>
      <w:proofErr w:type="gramEnd"/>
      <w:r>
        <w:rPr>
          <w:spacing w:val="-2"/>
        </w:rPr>
        <w:t>。</w:t>
      </w:r>
    </w:p>
    <w:p w14:paraId="3CF50924" w14:textId="77777777" w:rsidR="003A120B" w:rsidRPr="000C137B" w:rsidRDefault="00D5569C" w:rsidP="009416F7">
      <w:pPr>
        <w:pStyle w:val="a3"/>
        <w:numPr>
          <w:ilvl w:val="0"/>
          <w:numId w:val="2"/>
        </w:numPr>
        <w:snapToGrid w:val="0"/>
        <w:spacing w:line="360" w:lineRule="auto"/>
        <w:ind w:right="-7"/>
      </w:pPr>
      <w:r>
        <w:rPr>
          <w:spacing w:val="-1"/>
        </w:rPr>
        <w:t>相關資訊及附件均登載於本所網站</w:t>
      </w:r>
      <w:proofErr w:type="gramStart"/>
      <w:r>
        <w:rPr>
          <w:spacing w:val="-2"/>
        </w:rPr>
        <w:t>（</w:t>
      </w:r>
      <w:proofErr w:type="gramEnd"/>
      <w:r>
        <w:fldChar w:fldCharType="begin"/>
      </w:r>
      <w:r>
        <w:instrText>HYPERLINK "https://www.nvri.gov.tw"</w:instrText>
      </w:r>
      <w:r>
        <w:fldChar w:fldCharType="separate"/>
      </w:r>
      <w:r w:rsidR="00801960" w:rsidRPr="007C7B36">
        <w:rPr>
          <w:rStyle w:val="ac"/>
          <w:rFonts w:ascii="Arial" w:eastAsia="Arial"/>
          <w:spacing w:val="-2"/>
        </w:rPr>
        <w:t>http</w:t>
      </w:r>
      <w:r w:rsidR="00801960" w:rsidRPr="007C7B36">
        <w:rPr>
          <w:rStyle w:val="ac"/>
          <w:rFonts w:ascii="Arial" w:eastAsiaTheme="minorEastAsia" w:hint="eastAsia"/>
          <w:spacing w:val="-2"/>
        </w:rPr>
        <w:t>s</w:t>
      </w:r>
      <w:r w:rsidR="00801960" w:rsidRPr="007C7B36">
        <w:rPr>
          <w:rStyle w:val="ac"/>
          <w:rFonts w:ascii="Arial" w:eastAsia="Arial"/>
          <w:spacing w:val="-2"/>
        </w:rPr>
        <w:t>://www.nvri.gov.tw</w:t>
      </w:r>
      <w:r>
        <w:rPr>
          <w:rStyle w:val="ac"/>
          <w:rFonts w:ascii="Arial" w:eastAsia="Arial"/>
          <w:spacing w:val="-2"/>
        </w:rPr>
        <w:fldChar w:fldCharType="end"/>
      </w:r>
      <w:proofErr w:type="gramStart"/>
      <w:r>
        <w:rPr>
          <w:spacing w:val="-2"/>
        </w:rPr>
        <w:t>）</w:t>
      </w:r>
      <w:proofErr w:type="gramEnd"/>
      <w:r>
        <w:rPr>
          <w:spacing w:val="-2"/>
        </w:rPr>
        <w:t>，</w:t>
      </w:r>
      <w:r>
        <w:rPr>
          <w:spacing w:val="-3"/>
        </w:rPr>
        <w:t>請逕行上網查詢或下載表件應用。</w:t>
      </w:r>
    </w:p>
    <w:p w14:paraId="35815813" w14:textId="68361ECA" w:rsidR="00943CFE" w:rsidRDefault="00943CFE" w:rsidP="009416F7">
      <w:pPr>
        <w:pStyle w:val="a3"/>
        <w:numPr>
          <w:ilvl w:val="0"/>
          <w:numId w:val="2"/>
        </w:numPr>
        <w:snapToGrid w:val="0"/>
        <w:spacing w:line="360" w:lineRule="auto"/>
        <w:ind w:right="-7"/>
      </w:pPr>
      <w:r w:rsidRPr="00943CFE">
        <w:rPr>
          <w:rFonts w:hint="eastAsia"/>
        </w:rPr>
        <w:t>對於授權內容若有疑問，請</w:t>
      </w:r>
      <w:proofErr w:type="gramStart"/>
      <w:r w:rsidRPr="00943CFE">
        <w:rPr>
          <w:rFonts w:hint="eastAsia"/>
        </w:rPr>
        <w:t>逕洽本</w:t>
      </w:r>
      <w:proofErr w:type="gramEnd"/>
      <w:r w:rsidRPr="00943CFE">
        <w:rPr>
          <w:rFonts w:hint="eastAsia"/>
        </w:rPr>
        <w:t>所</w:t>
      </w:r>
      <w:r w:rsidR="000C137B">
        <w:rPr>
          <w:rFonts w:hint="eastAsia"/>
        </w:rPr>
        <w:t>新興傳染病組黃有良副</w:t>
      </w:r>
      <w:r w:rsidRPr="00943CFE">
        <w:rPr>
          <w:rFonts w:hint="eastAsia"/>
        </w:rPr>
        <w:t>研究員（</w:t>
      </w:r>
      <w:r w:rsidRPr="00943CFE">
        <w:t>02-26212111轉</w:t>
      </w:r>
      <w:r w:rsidR="000C137B">
        <w:rPr>
          <w:rFonts w:hint="eastAsia"/>
        </w:rPr>
        <w:t>306</w:t>
      </w:r>
      <w:r w:rsidRPr="00943CFE">
        <w:t>）。相關資訊及附件均登載於本所網站</w:t>
      </w:r>
      <w:proofErr w:type="gramStart"/>
      <w:r w:rsidRPr="00943CFE">
        <w:t>（</w:t>
      </w:r>
      <w:proofErr w:type="gramEnd"/>
      <w:r w:rsidRPr="00943CFE">
        <w:t>https://www.nvri.gov.tw</w:t>
      </w:r>
      <w:proofErr w:type="gramStart"/>
      <w:r w:rsidRPr="00943CFE">
        <w:t>）</w:t>
      </w:r>
      <w:proofErr w:type="gramEnd"/>
      <w:r w:rsidRPr="00943CFE">
        <w:t>，請自行下載、查詢及應用。</w:t>
      </w:r>
    </w:p>
    <w:p w14:paraId="21B743E1" w14:textId="77777777" w:rsidR="003A120B" w:rsidRDefault="00D5569C" w:rsidP="000C137B">
      <w:pPr>
        <w:pStyle w:val="a3"/>
        <w:numPr>
          <w:ilvl w:val="0"/>
          <w:numId w:val="2"/>
        </w:numPr>
        <w:snapToGrid w:val="0"/>
        <w:spacing w:line="360" w:lineRule="auto"/>
        <w:ind w:right="-7"/>
      </w:pPr>
      <w:r>
        <w:rPr>
          <w:spacing w:val="-2"/>
        </w:rPr>
        <w:lastRenderedPageBreak/>
        <w:t>附件下載：</w:t>
      </w:r>
    </w:p>
    <w:p w14:paraId="0EB3D327" w14:textId="33F562FC" w:rsidR="003A120B" w:rsidRPr="000C137B" w:rsidRDefault="00D5569C" w:rsidP="000C137B">
      <w:pPr>
        <w:pStyle w:val="a5"/>
        <w:numPr>
          <w:ilvl w:val="0"/>
          <w:numId w:val="7"/>
        </w:numPr>
        <w:tabs>
          <w:tab w:val="left" w:pos="1114"/>
        </w:tabs>
        <w:snapToGrid w:val="0"/>
        <w:spacing w:line="360" w:lineRule="auto"/>
        <w:rPr>
          <w:sz w:val="24"/>
        </w:rPr>
      </w:pPr>
      <w:r w:rsidRPr="000C137B">
        <w:rPr>
          <w:sz w:val="24"/>
        </w:rPr>
        <w:t>附件一：</w:t>
      </w:r>
      <w:r w:rsidR="00837E3B" w:rsidRPr="00837E3B">
        <w:rPr>
          <w:rFonts w:hint="eastAsia"/>
          <w:sz w:val="24"/>
        </w:rPr>
        <w:t>「</w:t>
      </w:r>
      <w:r w:rsidR="000C137B" w:rsidRPr="000C137B">
        <w:rPr>
          <w:rFonts w:hint="eastAsia"/>
          <w:sz w:val="24"/>
        </w:rPr>
        <w:t>豬流行性下痢</w:t>
      </w:r>
      <w:proofErr w:type="gramStart"/>
      <w:r w:rsidR="000C137B" w:rsidRPr="000C137B">
        <w:rPr>
          <w:rFonts w:hint="eastAsia"/>
          <w:sz w:val="24"/>
        </w:rPr>
        <w:t>不</w:t>
      </w:r>
      <w:proofErr w:type="gramEnd"/>
      <w:r w:rsidR="000C137B" w:rsidRPr="000C137B">
        <w:rPr>
          <w:rFonts w:hint="eastAsia"/>
          <w:sz w:val="24"/>
        </w:rPr>
        <w:t>活化疫苗</w:t>
      </w:r>
      <w:r w:rsidR="00837E3B" w:rsidRPr="00837E3B">
        <w:rPr>
          <w:sz w:val="24"/>
        </w:rPr>
        <w:t>」</w:t>
      </w:r>
      <w:r w:rsidRPr="000C137B">
        <w:rPr>
          <w:spacing w:val="-2"/>
          <w:sz w:val="24"/>
        </w:rPr>
        <w:t>特性簡介</w:t>
      </w:r>
      <w:r w:rsidR="00801960" w:rsidRPr="000C137B">
        <w:rPr>
          <w:rFonts w:hint="eastAsia"/>
          <w:spacing w:val="-2"/>
          <w:sz w:val="24"/>
        </w:rPr>
        <w:t>。</w:t>
      </w:r>
    </w:p>
    <w:p w14:paraId="23B82C6D" w14:textId="77777777" w:rsidR="003A120B" w:rsidRPr="000C137B" w:rsidRDefault="00D5569C" w:rsidP="000C137B">
      <w:pPr>
        <w:pStyle w:val="a5"/>
        <w:numPr>
          <w:ilvl w:val="0"/>
          <w:numId w:val="7"/>
        </w:numPr>
        <w:tabs>
          <w:tab w:val="left" w:pos="1114"/>
        </w:tabs>
        <w:snapToGrid w:val="0"/>
        <w:spacing w:line="360" w:lineRule="auto"/>
        <w:rPr>
          <w:sz w:val="24"/>
        </w:rPr>
      </w:pPr>
      <w:r w:rsidRPr="000C137B">
        <w:rPr>
          <w:spacing w:val="-1"/>
          <w:sz w:val="24"/>
        </w:rPr>
        <w:t>附件二：研發成果技術移轉廠商申請表</w:t>
      </w:r>
      <w:r w:rsidR="00801960" w:rsidRPr="000C137B">
        <w:rPr>
          <w:spacing w:val="-1"/>
          <w:sz w:val="24"/>
        </w:rPr>
        <w:t>。</w:t>
      </w:r>
    </w:p>
    <w:p w14:paraId="6B8D2058" w14:textId="69E86C2D" w:rsidR="003A120B" w:rsidRPr="000C137B" w:rsidRDefault="00D5569C" w:rsidP="000C137B">
      <w:pPr>
        <w:pStyle w:val="a5"/>
        <w:numPr>
          <w:ilvl w:val="0"/>
          <w:numId w:val="7"/>
        </w:numPr>
        <w:tabs>
          <w:tab w:val="left" w:pos="1114"/>
        </w:tabs>
        <w:snapToGrid w:val="0"/>
        <w:spacing w:line="360" w:lineRule="auto"/>
        <w:rPr>
          <w:sz w:val="24"/>
        </w:rPr>
      </w:pPr>
      <w:r w:rsidRPr="000C137B">
        <w:rPr>
          <w:spacing w:val="-1"/>
          <w:sz w:val="24"/>
        </w:rPr>
        <w:t>附件</w:t>
      </w:r>
      <w:proofErr w:type="gramStart"/>
      <w:r w:rsidRPr="000C137B">
        <w:rPr>
          <w:spacing w:val="-1"/>
          <w:sz w:val="24"/>
        </w:rPr>
        <w:t>三</w:t>
      </w:r>
      <w:proofErr w:type="gramEnd"/>
      <w:r w:rsidRPr="000C137B">
        <w:rPr>
          <w:spacing w:val="-1"/>
          <w:sz w:val="24"/>
        </w:rPr>
        <w:t>：</w:t>
      </w:r>
      <w:r w:rsidR="00B72456" w:rsidRPr="000C137B">
        <w:rPr>
          <w:rFonts w:hint="eastAsia"/>
          <w:spacing w:val="-1"/>
          <w:sz w:val="24"/>
        </w:rPr>
        <w:t>非專屬授權意願書</w:t>
      </w:r>
      <w:r w:rsidR="00801960" w:rsidRPr="000C137B">
        <w:rPr>
          <w:spacing w:val="-1"/>
          <w:sz w:val="24"/>
        </w:rPr>
        <w:t>。</w:t>
      </w:r>
    </w:p>
    <w:p w14:paraId="201ECC80" w14:textId="30032431" w:rsidR="003A120B" w:rsidRPr="00CA6A34" w:rsidRDefault="00D5569C" w:rsidP="000C137B">
      <w:pPr>
        <w:pStyle w:val="a5"/>
        <w:numPr>
          <w:ilvl w:val="0"/>
          <w:numId w:val="7"/>
        </w:numPr>
        <w:tabs>
          <w:tab w:val="left" w:pos="1114"/>
        </w:tabs>
        <w:snapToGrid w:val="0"/>
        <w:spacing w:line="360" w:lineRule="auto"/>
        <w:rPr>
          <w:sz w:val="19"/>
        </w:rPr>
      </w:pPr>
      <w:r w:rsidRPr="000C137B">
        <w:rPr>
          <w:spacing w:val="-1"/>
          <w:sz w:val="24"/>
        </w:rPr>
        <w:t>附件四：契約書</w:t>
      </w:r>
      <w:r w:rsidR="00B72456" w:rsidRPr="000C137B">
        <w:rPr>
          <w:rFonts w:hint="eastAsia"/>
          <w:spacing w:val="-1"/>
          <w:sz w:val="24"/>
        </w:rPr>
        <w:t>草案</w:t>
      </w:r>
      <w:r w:rsidR="00801960" w:rsidRPr="000C137B">
        <w:rPr>
          <w:spacing w:val="-1"/>
          <w:sz w:val="24"/>
        </w:rPr>
        <w:t>。</w:t>
      </w:r>
    </w:p>
    <w:sectPr w:rsidR="003A120B" w:rsidRPr="00CA6A34" w:rsidSect="0046609C">
      <w:headerReference w:type="default" r:id="rId8"/>
      <w:footerReference w:type="default" r:id="rId9"/>
      <w:type w:val="continuous"/>
      <w:pgSz w:w="12240" w:h="15840"/>
      <w:pgMar w:top="1440" w:right="1800" w:bottom="1440" w:left="1800" w:header="80" w:footer="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88F77" w14:textId="77777777" w:rsidR="00041097" w:rsidRDefault="00041097">
      <w:r>
        <w:separator/>
      </w:r>
    </w:p>
  </w:endnote>
  <w:endnote w:type="continuationSeparator" w:id="0">
    <w:p w14:paraId="302DF060" w14:textId="77777777" w:rsidR="00041097" w:rsidRDefault="0004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4F29" w14:textId="77777777" w:rsidR="003A120B" w:rsidRDefault="003A120B">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02CF0" w14:textId="77777777" w:rsidR="00041097" w:rsidRDefault="00041097">
      <w:r>
        <w:separator/>
      </w:r>
    </w:p>
  </w:footnote>
  <w:footnote w:type="continuationSeparator" w:id="0">
    <w:p w14:paraId="76874371" w14:textId="77777777" w:rsidR="00041097" w:rsidRDefault="00041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0089" w14:textId="77777777" w:rsidR="003A120B" w:rsidRDefault="003A120B">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3A58"/>
    <w:multiLevelType w:val="hybridMultilevel"/>
    <w:tmpl w:val="DD36F0B6"/>
    <w:lvl w:ilvl="0" w:tplc="2B5E428E">
      <w:numFmt w:val="bullet"/>
      <w:lvlText w:val=""/>
      <w:lvlJc w:val="left"/>
      <w:pPr>
        <w:ind w:left="1115" w:hanging="165"/>
      </w:pPr>
      <w:rPr>
        <w:rFonts w:ascii="Wingdings" w:eastAsia="Wingdings" w:hAnsi="Wingdings" w:cs="Wingdings" w:hint="default"/>
        <w:b w:val="0"/>
        <w:bCs w:val="0"/>
        <w:i w:val="0"/>
        <w:iCs w:val="0"/>
        <w:spacing w:val="0"/>
        <w:w w:val="103"/>
        <w:sz w:val="16"/>
        <w:szCs w:val="16"/>
        <w:lang w:val="en-US" w:eastAsia="zh-TW" w:bidi="ar-SA"/>
      </w:rPr>
    </w:lvl>
    <w:lvl w:ilvl="1" w:tplc="CA2EDD6C">
      <w:numFmt w:val="bullet"/>
      <w:lvlText w:val="•"/>
      <w:lvlJc w:val="left"/>
      <w:pPr>
        <w:ind w:left="2016" w:hanging="165"/>
      </w:pPr>
      <w:rPr>
        <w:rFonts w:hint="default"/>
        <w:lang w:val="en-US" w:eastAsia="zh-TW" w:bidi="ar-SA"/>
      </w:rPr>
    </w:lvl>
    <w:lvl w:ilvl="2" w:tplc="36E20920">
      <w:numFmt w:val="bullet"/>
      <w:lvlText w:val="•"/>
      <w:lvlJc w:val="left"/>
      <w:pPr>
        <w:ind w:left="2912" w:hanging="165"/>
      </w:pPr>
      <w:rPr>
        <w:rFonts w:hint="default"/>
        <w:lang w:val="en-US" w:eastAsia="zh-TW" w:bidi="ar-SA"/>
      </w:rPr>
    </w:lvl>
    <w:lvl w:ilvl="3" w:tplc="73B450CC">
      <w:numFmt w:val="bullet"/>
      <w:lvlText w:val="•"/>
      <w:lvlJc w:val="left"/>
      <w:pPr>
        <w:ind w:left="3808" w:hanging="165"/>
      </w:pPr>
      <w:rPr>
        <w:rFonts w:hint="default"/>
        <w:lang w:val="en-US" w:eastAsia="zh-TW" w:bidi="ar-SA"/>
      </w:rPr>
    </w:lvl>
    <w:lvl w:ilvl="4" w:tplc="0A2EE002">
      <w:numFmt w:val="bullet"/>
      <w:lvlText w:val="•"/>
      <w:lvlJc w:val="left"/>
      <w:pPr>
        <w:ind w:left="4704" w:hanging="165"/>
      </w:pPr>
      <w:rPr>
        <w:rFonts w:hint="default"/>
        <w:lang w:val="en-US" w:eastAsia="zh-TW" w:bidi="ar-SA"/>
      </w:rPr>
    </w:lvl>
    <w:lvl w:ilvl="5" w:tplc="678CC3B8">
      <w:numFmt w:val="bullet"/>
      <w:lvlText w:val="•"/>
      <w:lvlJc w:val="left"/>
      <w:pPr>
        <w:ind w:left="5600" w:hanging="165"/>
      </w:pPr>
      <w:rPr>
        <w:rFonts w:hint="default"/>
        <w:lang w:val="en-US" w:eastAsia="zh-TW" w:bidi="ar-SA"/>
      </w:rPr>
    </w:lvl>
    <w:lvl w:ilvl="6" w:tplc="1D6CFDAC">
      <w:numFmt w:val="bullet"/>
      <w:lvlText w:val="•"/>
      <w:lvlJc w:val="left"/>
      <w:pPr>
        <w:ind w:left="6496" w:hanging="165"/>
      </w:pPr>
      <w:rPr>
        <w:rFonts w:hint="default"/>
        <w:lang w:val="en-US" w:eastAsia="zh-TW" w:bidi="ar-SA"/>
      </w:rPr>
    </w:lvl>
    <w:lvl w:ilvl="7" w:tplc="669E57A2">
      <w:numFmt w:val="bullet"/>
      <w:lvlText w:val="•"/>
      <w:lvlJc w:val="left"/>
      <w:pPr>
        <w:ind w:left="7392" w:hanging="165"/>
      </w:pPr>
      <w:rPr>
        <w:rFonts w:hint="default"/>
        <w:lang w:val="en-US" w:eastAsia="zh-TW" w:bidi="ar-SA"/>
      </w:rPr>
    </w:lvl>
    <w:lvl w:ilvl="8" w:tplc="704CA4E6">
      <w:numFmt w:val="bullet"/>
      <w:lvlText w:val="•"/>
      <w:lvlJc w:val="left"/>
      <w:pPr>
        <w:ind w:left="8288" w:hanging="165"/>
      </w:pPr>
      <w:rPr>
        <w:rFonts w:hint="default"/>
        <w:lang w:val="en-US" w:eastAsia="zh-TW" w:bidi="ar-SA"/>
      </w:rPr>
    </w:lvl>
  </w:abstractNum>
  <w:abstractNum w:abstractNumId="1" w15:restartNumberingAfterBreak="0">
    <w:nsid w:val="0F0F68A4"/>
    <w:multiLevelType w:val="hybridMultilevel"/>
    <w:tmpl w:val="440CEF40"/>
    <w:lvl w:ilvl="0" w:tplc="48C4D46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F15092"/>
    <w:multiLevelType w:val="hybridMultilevel"/>
    <w:tmpl w:val="B22271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B32939"/>
    <w:multiLevelType w:val="hybridMultilevel"/>
    <w:tmpl w:val="57A60A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0984360"/>
    <w:multiLevelType w:val="hybridMultilevel"/>
    <w:tmpl w:val="B1E2DD58"/>
    <w:lvl w:ilvl="0" w:tplc="0ECE571A">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C90DF7"/>
    <w:multiLevelType w:val="hybridMultilevel"/>
    <w:tmpl w:val="FC7CEE4A"/>
    <w:lvl w:ilvl="0" w:tplc="51C41DF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9D7E5D"/>
    <w:multiLevelType w:val="hybridMultilevel"/>
    <w:tmpl w:val="FE860FA6"/>
    <w:lvl w:ilvl="0" w:tplc="A448E8D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11093618">
    <w:abstractNumId w:val="0"/>
  </w:num>
  <w:num w:numId="2" w16cid:durableId="1975910656">
    <w:abstractNumId w:val="4"/>
  </w:num>
  <w:num w:numId="3" w16cid:durableId="2035689674">
    <w:abstractNumId w:val="2"/>
  </w:num>
  <w:num w:numId="4" w16cid:durableId="1702438832">
    <w:abstractNumId w:val="5"/>
  </w:num>
  <w:num w:numId="5" w16cid:durableId="1209298345">
    <w:abstractNumId w:val="1"/>
  </w:num>
  <w:num w:numId="6" w16cid:durableId="382605706">
    <w:abstractNumId w:val="6"/>
  </w:num>
  <w:num w:numId="7" w16cid:durableId="1005783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0B"/>
    <w:rsid w:val="00041097"/>
    <w:rsid w:val="000538D8"/>
    <w:rsid w:val="000C137B"/>
    <w:rsid w:val="00175355"/>
    <w:rsid w:val="00186A12"/>
    <w:rsid w:val="0022252E"/>
    <w:rsid w:val="00273698"/>
    <w:rsid w:val="00280B3D"/>
    <w:rsid w:val="00282158"/>
    <w:rsid w:val="002A4B26"/>
    <w:rsid w:val="002C18F6"/>
    <w:rsid w:val="00323030"/>
    <w:rsid w:val="003243C7"/>
    <w:rsid w:val="003258DF"/>
    <w:rsid w:val="003A120B"/>
    <w:rsid w:val="003B238C"/>
    <w:rsid w:val="00465BF4"/>
    <w:rsid w:val="0046609C"/>
    <w:rsid w:val="004A19C2"/>
    <w:rsid w:val="004C2893"/>
    <w:rsid w:val="00506950"/>
    <w:rsid w:val="00521B14"/>
    <w:rsid w:val="00560C5C"/>
    <w:rsid w:val="005D7E28"/>
    <w:rsid w:val="006D6F34"/>
    <w:rsid w:val="00714EA1"/>
    <w:rsid w:val="00731663"/>
    <w:rsid w:val="007557B2"/>
    <w:rsid w:val="00791864"/>
    <w:rsid w:val="007C2F40"/>
    <w:rsid w:val="007D0263"/>
    <w:rsid w:val="007D53F1"/>
    <w:rsid w:val="00801960"/>
    <w:rsid w:val="00837E3B"/>
    <w:rsid w:val="00872614"/>
    <w:rsid w:val="008A681F"/>
    <w:rsid w:val="009416F7"/>
    <w:rsid w:val="00943CFE"/>
    <w:rsid w:val="00997692"/>
    <w:rsid w:val="00A02990"/>
    <w:rsid w:val="00A20F53"/>
    <w:rsid w:val="00AA511E"/>
    <w:rsid w:val="00B16B7B"/>
    <w:rsid w:val="00B503DA"/>
    <w:rsid w:val="00B72456"/>
    <w:rsid w:val="00BB77BB"/>
    <w:rsid w:val="00BE77D5"/>
    <w:rsid w:val="00C36FEF"/>
    <w:rsid w:val="00C712CF"/>
    <w:rsid w:val="00C84A8B"/>
    <w:rsid w:val="00C90D06"/>
    <w:rsid w:val="00CA5396"/>
    <w:rsid w:val="00CA6A34"/>
    <w:rsid w:val="00D5569C"/>
    <w:rsid w:val="00D621CA"/>
    <w:rsid w:val="00E30AF5"/>
    <w:rsid w:val="00EE20DA"/>
    <w:rsid w:val="00F80795"/>
    <w:rsid w:val="00FA2E00"/>
    <w:rsid w:val="00FC2A21"/>
    <w:rsid w:val="00FD7A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99772"/>
  <w15:docId w15:val="{2B2F795D-AF6A-4750-8C1D-5526CC60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B26"/>
    <w:rPr>
      <w:rFonts w:ascii="新細明體" w:eastAsia="新細明體" w:hAnsi="新細明體" w:cs="新細明體"/>
      <w:lang w:eastAsia="zh-TW"/>
    </w:rPr>
  </w:style>
  <w:style w:type="paragraph" w:styleId="5">
    <w:name w:val="heading 5"/>
    <w:basedOn w:val="a"/>
    <w:link w:val="50"/>
    <w:uiPriority w:val="9"/>
    <w:qFormat/>
    <w:rsid w:val="00280B3D"/>
    <w:pPr>
      <w:widowControl/>
      <w:autoSpaceDE/>
      <w:autoSpaceDN/>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A4B26"/>
    <w:tblPr>
      <w:tblInd w:w="0" w:type="dxa"/>
      <w:tblCellMar>
        <w:top w:w="0" w:type="dxa"/>
        <w:left w:w="0" w:type="dxa"/>
        <w:bottom w:w="0" w:type="dxa"/>
        <w:right w:w="0" w:type="dxa"/>
      </w:tblCellMar>
    </w:tblPr>
  </w:style>
  <w:style w:type="paragraph" w:styleId="a3">
    <w:name w:val="Body Text"/>
    <w:basedOn w:val="a"/>
    <w:uiPriority w:val="1"/>
    <w:qFormat/>
    <w:rsid w:val="002A4B26"/>
    <w:rPr>
      <w:sz w:val="24"/>
      <w:szCs w:val="24"/>
    </w:rPr>
  </w:style>
  <w:style w:type="paragraph" w:styleId="a4">
    <w:name w:val="Title"/>
    <w:basedOn w:val="a"/>
    <w:uiPriority w:val="10"/>
    <w:qFormat/>
    <w:rsid w:val="002A4B26"/>
    <w:pPr>
      <w:spacing w:before="121"/>
      <w:ind w:right="799"/>
      <w:jc w:val="center"/>
    </w:pPr>
    <w:rPr>
      <w:sz w:val="28"/>
      <w:szCs w:val="28"/>
    </w:rPr>
  </w:style>
  <w:style w:type="paragraph" w:styleId="a5">
    <w:name w:val="List Paragraph"/>
    <w:basedOn w:val="a"/>
    <w:uiPriority w:val="1"/>
    <w:qFormat/>
    <w:rsid w:val="002A4B26"/>
    <w:pPr>
      <w:spacing w:before="48"/>
      <w:ind w:left="1114" w:hanging="164"/>
    </w:pPr>
  </w:style>
  <w:style w:type="paragraph" w:customStyle="1" w:styleId="TableParagraph">
    <w:name w:val="Table Paragraph"/>
    <w:basedOn w:val="a"/>
    <w:uiPriority w:val="1"/>
    <w:qFormat/>
    <w:rsid w:val="002A4B26"/>
  </w:style>
  <w:style w:type="paragraph" w:styleId="a6">
    <w:name w:val="header"/>
    <w:basedOn w:val="a"/>
    <w:link w:val="a7"/>
    <w:uiPriority w:val="99"/>
    <w:unhideWhenUsed/>
    <w:rsid w:val="0046609C"/>
    <w:pPr>
      <w:tabs>
        <w:tab w:val="center" w:pos="4153"/>
        <w:tab w:val="right" w:pos="8306"/>
      </w:tabs>
      <w:snapToGrid w:val="0"/>
    </w:pPr>
    <w:rPr>
      <w:sz w:val="20"/>
      <w:szCs w:val="20"/>
    </w:rPr>
  </w:style>
  <w:style w:type="character" w:customStyle="1" w:styleId="a7">
    <w:name w:val="頁首 字元"/>
    <w:basedOn w:val="a0"/>
    <w:link w:val="a6"/>
    <w:uiPriority w:val="99"/>
    <w:rsid w:val="0046609C"/>
    <w:rPr>
      <w:rFonts w:ascii="新細明體" w:eastAsia="新細明體" w:hAnsi="新細明體" w:cs="新細明體"/>
      <w:sz w:val="20"/>
      <w:szCs w:val="20"/>
      <w:lang w:eastAsia="zh-TW"/>
    </w:rPr>
  </w:style>
  <w:style w:type="paragraph" w:styleId="a8">
    <w:name w:val="footer"/>
    <w:basedOn w:val="a"/>
    <w:link w:val="a9"/>
    <w:uiPriority w:val="99"/>
    <w:unhideWhenUsed/>
    <w:rsid w:val="0046609C"/>
    <w:pPr>
      <w:tabs>
        <w:tab w:val="center" w:pos="4153"/>
        <w:tab w:val="right" w:pos="8306"/>
      </w:tabs>
      <w:snapToGrid w:val="0"/>
    </w:pPr>
    <w:rPr>
      <w:sz w:val="20"/>
      <w:szCs w:val="20"/>
    </w:rPr>
  </w:style>
  <w:style w:type="character" w:customStyle="1" w:styleId="a9">
    <w:name w:val="頁尾 字元"/>
    <w:basedOn w:val="a0"/>
    <w:link w:val="a8"/>
    <w:uiPriority w:val="99"/>
    <w:rsid w:val="0046609C"/>
    <w:rPr>
      <w:rFonts w:ascii="新細明體" w:eastAsia="新細明體" w:hAnsi="新細明體" w:cs="新細明體"/>
      <w:sz w:val="20"/>
      <w:szCs w:val="20"/>
      <w:lang w:eastAsia="zh-TW"/>
    </w:rPr>
  </w:style>
  <w:style w:type="paragraph" w:styleId="aa">
    <w:name w:val="Balloon Text"/>
    <w:basedOn w:val="a"/>
    <w:link w:val="ab"/>
    <w:uiPriority w:val="99"/>
    <w:semiHidden/>
    <w:unhideWhenUsed/>
    <w:rsid w:val="0080196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01960"/>
    <w:rPr>
      <w:rFonts w:asciiTheme="majorHAnsi" w:eastAsiaTheme="majorEastAsia" w:hAnsiTheme="majorHAnsi" w:cstheme="majorBidi"/>
      <w:sz w:val="18"/>
      <w:szCs w:val="18"/>
      <w:lang w:eastAsia="zh-TW"/>
    </w:rPr>
  </w:style>
  <w:style w:type="character" w:styleId="ac">
    <w:name w:val="Hyperlink"/>
    <w:basedOn w:val="a0"/>
    <w:uiPriority w:val="99"/>
    <w:unhideWhenUsed/>
    <w:rsid w:val="00801960"/>
    <w:rPr>
      <w:color w:val="0000FF" w:themeColor="hyperlink"/>
      <w:u w:val="single"/>
    </w:rPr>
  </w:style>
  <w:style w:type="character" w:customStyle="1" w:styleId="50">
    <w:name w:val="標題 5 字元"/>
    <w:basedOn w:val="a0"/>
    <w:link w:val="5"/>
    <w:uiPriority w:val="9"/>
    <w:rsid w:val="00280B3D"/>
    <w:rPr>
      <w:rFonts w:ascii="新細明體" w:eastAsia="新細明體" w:hAnsi="新細明體" w:cs="新細明體"/>
      <w:b/>
      <w:bCs/>
      <w:sz w:val="20"/>
      <w:szCs w:val="20"/>
      <w:lang w:eastAsia="zh-TW"/>
    </w:rPr>
  </w:style>
  <w:style w:type="paragraph" w:styleId="ad">
    <w:name w:val="Revision"/>
    <w:hidden/>
    <w:uiPriority w:val="99"/>
    <w:semiHidden/>
    <w:rsid w:val="00E30AF5"/>
    <w:pPr>
      <w:widowControl/>
      <w:autoSpaceDE/>
      <w:autoSpaceDN/>
    </w:pPr>
    <w:rPr>
      <w:rFonts w:ascii="新細明體" w:eastAsia="新細明體" w:hAnsi="新細明體" w:cs="新細明體"/>
      <w:lang w:eastAsia="zh-TW"/>
    </w:rPr>
  </w:style>
  <w:style w:type="character" w:styleId="ae">
    <w:name w:val="annotation reference"/>
    <w:basedOn w:val="a0"/>
    <w:uiPriority w:val="99"/>
    <w:semiHidden/>
    <w:unhideWhenUsed/>
    <w:rsid w:val="00B16B7B"/>
    <w:rPr>
      <w:sz w:val="18"/>
      <w:szCs w:val="18"/>
    </w:rPr>
  </w:style>
  <w:style w:type="paragraph" w:styleId="af">
    <w:name w:val="annotation text"/>
    <w:basedOn w:val="a"/>
    <w:link w:val="af0"/>
    <w:uiPriority w:val="99"/>
    <w:semiHidden/>
    <w:unhideWhenUsed/>
    <w:rsid w:val="00B16B7B"/>
  </w:style>
  <w:style w:type="character" w:customStyle="1" w:styleId="af0">
    <w:name w:val="註解文字 字元"/>
    <w:basedOn w:val="a0"/>
    <w:link w:val="af"/>
    <w:uiPriority w:val="99"/>
    <w:semiHidden/>
    <w:rsid w:val="00B16B7B"/>
    <w:rPr>
      <w:rFonts w:ascii="新細明體" w:eastAsia="新細明體" w:hAnsi="新細明體" w:cs="新細明體"/>
      <w:lang w:eastAsia="zh-TW"/>
    </w:rPr>
  </w:style>
  <w:style w:type="paragraph" w:styleId="af1">
    <w:name w:val="annotation subject"/>
    <w:basedOn w:val="af"/>
    <w:next w:val="af"/>
    <w:link w:val="af2"/>
    <w:uiPriority w:val="99"/>
    <w:semiHidden/>
    <w:unhideWhenUsed/>
    <w:rsid w:val="00B16B7B"/>
    <w:rPr>
      <w:b/>
      <w:bCs/>
    </w:rPr>
  </w:style>
  <w:style w:type="character" w:customStyle="1" w:styleId="af2">
    <w:name w:val="註解主旨 字元"/>
    <w:basedOn w:val="af0"/>
    <w:link w:val="af1"/>
    <w:uiPriority w:val="99"/>
    <w:semiHidden/>
    <w:rsid w:val="00B16B7B"/>
    <w:rPr>
      <w:rFonts w:ascii="新細明體" w:eastAsia="新細明體" w:hAnsi="新細明體" w:cs="新細明體"/>
      <w:b/>
      <w:bCs/>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09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69E549-CFB8-4545-B85C-4A87BAB36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【技轉公告】「水禽雷氏桿菌症不活化菌苗(第1、2和6血清型)」非專屬授權受理日期與相關注意事項</dc:title>
  <dc:creator>陳燕萍</dc:creator>
  <cp:lastModifiedBy>CHKUO@mail.nvri.gov.tw</cp:lastModifiedBy>
  <cp:revision>2</cp:revision>
  <dcterms:created xsi:type="dcterms:W3CDTF">2026-02-26T01:33:00Z</dcterms:created>
  <dcterms:modified xsi:type="dcterms:W3CDTF">2026-02-26T01:33:00Z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2019-05-03T00:00:00Z</vt:filetime>
  </property>
  <property fmtid="{D5CDD505-2E9C-101B-9397-08002B2CF9AE}" pid="3" name="LastSaved">
    <vt:filetime>2025-09-15T00:00:00Z</vt:filetime>
  </property>
  <property fmtid="{D5CDD505-2E9C-101B-9397-08002B2CF9AE}" pid="4" name="Producer">
    <vt:lpwstr>Acrobat Web Capture 9.0</vt:lpwstr>
  </property>
</Properties>
</file>