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85" w:rsidRPr="00D564B9" w:rsidRDefault="0027149E" w:rsidP="00D564B9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豬場飼養安全及豬隻特定</w:t>
      </w:r>
      <w:r w:rsidR="00CA5CC9">
        <w:rPr>
          <w:rFonts w:ascii="Times New Roman" w:eastAsia="標楷體" w:hAnsi="Times New Roman" w:hint="eastAsia"/>
          <w:b/>
          <w:sz w:val="32"/>
          <w:szCs w:val="32"/>
        </w:rPr>
        <w:t>疾病</w:t>
      </w:r>
      <w:r>
        <w:rPr>
          <w:rFonts w:ascii="Times New Roman" w:eastAsia="標楷體" w:hAnsi="Times New Roman" w:hint="eastAsia"/>
          <w:b/>
          <w:sz w:val="32"/>
          <w:szCs w:val="32"/>
        </w:rPr>
        <w:t>抗體的調查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</w:p>
    <w:p w:rsidR="00D564B9" w:rsidRPr="00D564B9" w:rsidRDefault="00D564B9" w:rsidP="00D564B9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564B9">
        <w:rPr>
          <w:rFonts w:ascii="Times New Roman" w:eastAsia="標楷體" w:hAnsi="Times New Roman" w:cs="Times New Roman" w:hint="eastAsia"/>
          <w:sz w:val="28"/>
          <w:szCs w:val="28"/>
        </w:rPr>
        <w:t>豬瘟研究組</w:t>
      </w:r>
    </w:p>
    <w:p w:rsidR="00D564B9" w:rsidRPr="00D564B9" w:rsidRDefault="00D564B9" w:rsidP="00D564B9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564B9">
        <w:rPr>
          <w:rFonts w:ascii="Times New Roman" w:eastAsia="標楷體" w:hAnsi="Times New Roman" w:cs="Times New Roman" w:hint="eastAsia"/>
          <w:sz w:val="28"/>
          <w:szCs w:val="28"/>
        </w:rPr>
        <w:t>洪鈴柱助理研究員</w:t>
      </w:r>
      <w:r w:rsidR="00DC347D" w:rsidRPr="00DC347D">
        <w:rPr>
          <w:rFonts w:ascii="Times New Roman" w:eastAsia="標楷體" w:hAnsi="Times New Roman" w:cs="Times New Roman" w:hint="eastAsia"/>
          <w:sz w:val="28"/>
          <w:szCs w:val="28"/>
        </w:rPr>
        <w:t>、潘居祥副研究員、王羣</w:t>
      </w:r>
      <w:r w:rsidR="00DC347D" w:rsidRPr="00D564B9">
        <w:rPr>
          <w:rFonts w:ascii="Times New Roman" w:eastAsia="標楷體" w:hAnsi="Times New Roman" w:cs="Times New Roman" w:hint="eastAsia"/>
          <w:sz w:val="28"/>
          <w:szCs w:val="28"/>
        </w:rPr>
        <w:t>助理研究員</w:t>
      </w:r>
    </w:p>
    <w:p w:rsidR="00F43290" w:rsidRDefault="00D564B9" w:rsidP="001F4DAA">
      <w:pPr>
        <w:spacing w:line="500" w:lineRule="exact"/>
        <w:jc w:val="center"/>
        <w:rPr>
          <w:rFonts w:ascii="Times New Roman" w:eastAsia="標楷體" w:hAnsi="Times New Roman" w:cs="Times New Roman"/>
          <w:bCs/>
          <w:kern w:val="0"/>
          <w:sz w:val="28"/>
          <w:szCs w:val="24"/>
        </w:rPr>
      </w:pPr>
      <w:r w:rsidRPr="00D564B9">
        <w:rPr>
          <w:rFonts w:ascii="Times New Roman" w:eastAsia="標楷體" w:hAnsi="Times New Roman" w:cs="Times New Roman"/>
          <w:b/>
          <w:sz w:val="28"/>
          <w:szCs w:val="28"/>
        </w:rPr>
        <w:t>摘要</w:t>
      </w:r>
      <w:r w:rsidR="004C2B17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 xml:space="preserve">   </w:t>
      </w:r>
    </w:p>
    <w:p w:rsidR="00D564B9" w:rsidRDefault="00F43290" w:rsidP="00F43290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kern w:val="0"/>
          <w:sz w:val="28"/>
          <w:szCs w:val="24"/>
        </w:rPr>
      </w:pP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本</w:t>
      </w:r>
      <w:r w:rsidR="00545B45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研究</w:t>
      </w:r>
      <w:r w:rsidR="00545B45"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計畫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基於降低疾病的風險必須著重預防與立即性的診斷與防治的精神。配合每一養豬場的防疫需求，提供客製化的診斷方式，利用先進免疫及分生技術，快速正確提供有效防疫措施，建立飼養安全。本計畫血清抗體樣本檢測共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1492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例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(28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場次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)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，包含：豬假性狂犬病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 xml:space="preserve">(PR) 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抗體檢測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1492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例，豬生殖與呼吸綜合症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 xml:space="preserve">(PRRS) 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抗體檢測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308</w:t>
      </w:r>
      <w:r w:rsidR="008C280F"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件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，豬環狀病毒第二型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 xml:space="preserve">(PCV2) 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抗體檢測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308</w:t>
      </w:r>
      <w:r w:rsidR="008C280F"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件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，豬瘟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 xml:space="preserve">(HC) 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抗體檢測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308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件，及豬流行性下痢病毒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(PED)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抗體檢測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26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件。在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PCR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檢測病毒病原共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42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場次</w:t>
      </w:r>
      <w:r w:rsidR="002625B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，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豬輪狀病毒檢出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1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場，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PCV2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檢出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7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場，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PRRS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檢出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12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場，</w:t>
      </w:r>
      <w:r w:rsidR="002625B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及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豬流行性下痢病毒檢出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16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場為最多。本計畫為更清晰分析豬場的特定抗體的分布情形，除了使用傳統中和抗體力價檢測技術外，並購置市售商品化檢測套組進行特定抗體的檢測，也利用分子生物技術生產重組蛋白做成抗體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ELISA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檢測用的抗原。這些方式能檢測更多的特定抗體，能測</w:t>
      </w:r>
      <w:r w:rsidR="00804676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定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免疫計畫與疾病的免疫反應。此外利用客製化的診斷服務及制式化採血週齡，可有效分析病原及觀察豬群抗體力價分布曲線，並由各週齡豬</w:t>
      </w:r>
      <w:r w:rsidR="00804676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隻</w:t>
      </w:r>
      <w:r w:rsidRPr="00F43290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>的特定抗體力價的判定，評估特定疾病的風險或該場疫苗施打後的免疫效力評估，推算疫苗施打的最佳週齡。</w:t>
      </w:r>
    </w:p>
    <w:p w:rsidR="00804676" w:rsidRDefault="00804676" w:rsidP="00F43290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kern w:val="0"/>
          <w:sz w:val="28"/>
          <w:szCs w:val="24"/>
        </w:rPr>
      </w:pPr>
    </w:p>
    <w:p w:rsidR="00804676" w:rsidRPr="00D564B9" w:rsidRDefault="00804676" w:rsidP="00F43290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kern w:val="0"/>
          <w:sz w:val="28"/>
          <w:szCs w:val="24"/>
        </w:rPr>
      </w:pPr>
    </w:p>
    <w:p w:rsidR="00C20CEC" w:rsidRPr="004C2B17" w:rsidRDefault="00653530" w:rsidP="00653530">
      <w:pPr>
        <w:autoSpaceDE w:val="0"/>
        <w:autoSpaceDN w:val="0"/>
        <w:adjustRightInd w:val="0"/>
        <w:jc w:val="center"/>
        <w:rPr>
          <w:rFonts w:ascii="Times New Roman" w:eastAsia="標楷體" w:hAnsi="Times New Roman" w:cs="AbadiMT-Bold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 w:cs="AbadiMT-Bold"/>
          <w:b/>
          <w:bCs/>
          <w:color w:val="000000" w:themeColor="text1"/>
          <w:kern w:val="0"/>
          <w:sz w:val="32"/>
          <w:szCs w:val="32"/>
        </w:rPr>
        <w:lastRenderedPageBreak/>
        <w:t xml:space="preserve">Investigation of swine </w:t>
      </w:r>
      <w:r w:rsidR="00CE7A9F">
        <w:rPr>
          <w:rFonts w:ascii="Times New Roman" w:eastAsia="標楷體" w:hAnsi="Times New Roman" w:cs="AbadiMT-Bold"/>
          <w:b/>
          <w:bCs/>
          <w:color w:val="000000" w:themeColor="text1"/>
          <w:kern w:val="0"/>
          <w:sz w:val="32"/>
          <w:szCs w:val="32"/>
        </w:rPr>
        <w:t>health on pig farms through the effective monitoring</w:t>
      </w:r>
      <w:r w:rsidR="00222AD6">
        <w:rPr>
          <w:rFonts w:ascii="Times New Roman" w:eastAsia="標楷體" w:hAnsi="Times New Roman" w:cs="AbadiMT-Bold"/>
          <w:b/>
          <w:bCs/>
          <w:color w:val="000000" w:themeColor="text1"/>
          <w:kern w:val="0"/>
          <w:sz w:val="32"/>
          <w:szCs w:val="32"/>
        </w:rPr>
        <w:t xml:space="preserve"> of porcine diseases and immunological response to vaccination</w:t>
      </w:r>
    </w:p>
    <w:p w:rsidR="00D564B9" w:rsidRPr="005232B6" w:rsidRDefault="00D564B9" w:rsidP="00D564B9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232B6">
        <w:rPr>
          <w:rFonts w:ascii="Times New Roman" w:eastAsia="標楷體" w:hAnsi="Times New Roman" w:cs="Times New Roman" w:hint="eastAsia"/>
          <w:sz w:val="28"/>
          <w:szCs w:val="28"/>
        </w:rPr>
        <w:t>Ling-Chu Hung,</w:t>
      </w:r>
      <w:r w:rsidR="00554B7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750B5">
        <w:rPr>
          <w:rFonts w:ascii="Times New Roman" w:eastAsia="標楷體" w:hAnsi="Times New Roman" w:cs="Times New Roman"/>
          <w:sz w:val="28"/>
          <w:szCs w:val="28"/>
        </w:rPr>
        <w:t>Chu-Hsiang Pan, Chun Wang</w:t>
      </w:r>
    </w:p>
    <w:p w:rsidR="00D564B9" w:rsidRPr="00657A42" w:rsidRDefault="00D564B9" w:rsidP="00D564B9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32651">
        <w:rPr>
          <w:rFonts w:ascii="Times New Roman" w:eastAsia="標楷體" w:hAnsi="Times New Roman" w:cs="Times New Roman" w:hint="eastAsia"/>
          <w:sz w:val="28"/>
          <w:szCs w:val="28"/>
        </w:rPr>
        <w:t>Division of Hog Cholera Research</w:t>
      </w:r>
    </w:p>
    <w:p w:rsidR="00C20CEC" w:rsidRPr="004C2B17" w:rsidRDefault="00D564B9" w:rsidP="004C2B17">
      <w:pPr>
        <w:spacing w:line="40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C2B17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:rsidR="004C2B17" w:rsidRPr="00D564B9" w:rsidRDefault="004C2B17" w:rsidP="004C2B17">
      <w:pPr>
        <w:spacing w:line="400" w:lineRule="atLeast"/>
        <w:jc w:val="center"/>
        <w:rPr>
          <w:rFonts w:ascii="Times New Roman" w:eastAsia="標楷體" w:hAnsi="Times New Roman" w:cs="Times New Roman"/>
          <w:bCs/>
          <w:kern w:val="0"/>
          <w:sz w:val="28"/>
          <w:szCs w:val="24"/>
        </w:rPr>
      </w:pPr>
    </w:p>
    <w:p w:rsidR="00545B45" w:rsidRPr="00545B45" w:rsidRDefault="004C2B17" w:rsidP="00545B45">
      <w:pPr>
        <w:autoSpaceDE w:val="0"/>
        <w:autoSpaceDN w:val="0"/>
        <w:adjustRightInd w:val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 xml:space="preserve"> 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This </w:t>
      </w:r>
      <w:r w:rsidR="008F3DF4">
        <w:rPr>
          <w:rFonts w:ascii="Times New Roman" w:eastAsia="標楷體" w:hAnsi="Times New Roman" w:hint="eastAsia"/>
          <w:sz w:val="28"/>
          <w:szCs w:val="24"/>
        </w:rPr>
        <w:t>study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1E1906">
        <w:rPr>
          <w:rFonts w:ascii="Times New Roman" w:eastAsia="標楷體" w:hAnsi="Times New Roman"/>
          <w:sz w:val="28"/>
          <w:szCs w:val="24"/>
        </w:rPr>
        <w:t>is</w:t>
      </w:r>
      <w:r w:rsidR="001E1906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1E1906">
        <w:rPr>
          <w:rFonts w:ascii="Times New Roman" w:eastAsia="標楷體" w:hAnsi="Times New Roman"/>
          <w:sz w:val="28"/>
          <w:szCs w:val="24"/>
        </w:rPr>
        <w:t>ultimately focused</w:t>
      </w:r>
      <w:r w:rsidR="001E1906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on reducing the risk of swine disease</w:t>
      </w:r>
      <w:r w:rsidR="000D35A2">
        <w:rPr>
          <w:rFonts w:ascii="Times New Roman" w:eastAsia="標楷體" w:hAnsi="Times New Roman"/>
          <w:sz w:val="28"/>
          <w:szCs w:val="24"/>
        </w:rPr>
        <w:t xml:space="preserve"> </w:t>
      </w:r>
      <w:r w:rsidR="001E1906">
        <w:rPr>
          <w:rFonts w:ascii="Times New Roman" w:eastAsia="標楷體" w:hAnsi="Times New Roman"/>
          <w:sz w:val="28"/>
          <w:szCs w:val="24"/>
        </w:rPr>
        <w:t>with an emphasis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on prevention, diagnosis, and treatment. According to each pig farm</w:t>
      </w:r>
      <w:r w:rsidR="000D35A2">
        <w:rPr>
          <w:rFonts w:ascii="Times New Roman" w:eastAsia="標楷體" w:hAnsi="Times New Roman"/>
          <w:sz w:val="28"/>
          <w:szCs w:val="24"/>
        </w:rPr>
        <w:t>’s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epidemic prevention needs, </w:t>
      </w:r>
      <w:r w:rsidR="000D35A2">
        <w:rPr>
          <w:rFonts w:ascii="Times New Roman" w:eastAsia="標楷體" w:hAnsi="Times New Roman"/>
          <w:sz w:val="28"/>
          <w:szCs w:val="24"/>
        </w:rPr>
        <w:t xml:space="preserve">we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provided customized diagnostic </w:t>
      </w:r>
      <w:r w:rsidR="00CE7A9F">
        <w:rPr>
          <w:rFonts w:ascii="Times New Roman" w:eastAsia="標楷體" w:hAnsi="Times New Roman"/>
          <w:sz w:val="28"/>
          <w:szCs w:val="24"/>
        </w:rPr>
        <w:t xml:space="preserve">tools </w:t>
      </w:r>
      <w:r w:rsidR="008F3DF4">
        <w:rPr>
          <w:rFonts w:ascii="Times New Roman" w:eastAsia="標楷體" w:hAnsi="Times New Roman"/>
          <w:sz w:val="28"/>
          <w:szCs w:val="24"/>
        </w:rPr>
        <w:t xml:space="preserve">to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establish </w:t>
      </w:r>
      <w:r w:rsidR="000D35A2">
        <w:rPr>
          <w:rFonts w:ascii="Times New Roman" w:eastAsia="標楷體" w:hAnsi="Times New Roman"/>
          <w:sz w:val="28"/>
          <w:szCs w:val="24"/>
        </w:rPr>
        <w:t>secure rearing practices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, including the use of advanced </w:t>
      </w:r>
      <w:r w:rsidR="000D35A2" w:rsidRPr="00545B45">
        <w:rPr>
          <w:rFonts w:ascii="Times New Roman" w:eastAsia="標楷體" w:hAnsi="Times New Roman"/>
          <w:sz w:val="28"/>
          <w:szCs w:val="24"/>
        </w:rPr>
        <w:t>immun</w:t>
      </w:r>
      <w:r w:rsidR="000D35A2">
        <w:rPr>
          <w:rFonts w:ascii="Times New Roman" w:eastAsia="標楷體" w:hAnsi="Times New Roman"/>
          <w:sz w:val="28"/>
          <w:szCs w:val="24"/>
        </w:rPr>
        <w:t>ization</w:t>
      </w:r>
      <w:r w:rsidR="000D35A2">
        <w:rPr>
          <w:rFonts w:ascii="Times New Roman" w:eastAsia="標楷體" w:hAnsi="Times New Roman" w:hint="eastAsia"/>
          <w:sz w:val="28"/>
          <w:szCs w:val="24"/>
        </w:rPr>
        <w:t>,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 molecular </w:t>
      </w:r>
      <w:r w:rsidR="000D35A2">
        <w:rPr>
          <w:rFonts w:ascii="Times New Roman" w:eastAsia="標楷體" w:hAnsi="Times New Roman"/>
          <w:sz w:val="28"/>
          <w:szCs w:val="24"/>
        </w:rPr>
        <w:t>diagnostic methods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, and </w:t>
      </w:r>
      <w:r w:rsidR="000D35A2">
        <w:rPr>
          <w:rFonts w:ascii="Times New Roman" w:eastAsia="標楷體" w:hAnsi="Times New Roman"/>
          <w:sz w:val="28"/>
          <w:szCs w:val="24"/>
        </w:rPr>
        <w:t xml:space="preserve">the </w:t>
      </w:r>
      <w:r w:rsidR="00545B45" w:rsidRPr="00545B45">
        <w:rPr>
          <w:rFonts w:ascii="Times New Roman" w:eastAsia="標楷體" w:hAnsi="Times New Roman"/>
          <w:sz w:val="28"/>
          <w:szCs w:val="24"/>
        </w:rPr>
        <w:t>rapid provision of effective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epidemic prevention measures. A total of 1492 serum samples (28 batches)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1E1906">
        <w:rPr>
          <w:rFonts w:ascii="Times New Roman" w:eastAsia="標楷體" w:hAnsi="Times New Roman"/>
          <w:sz w:val="28"/>
          <w:szCs w:val="24"/>
        </w:rPr>
        <w:t>tested positive for viral antibodies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 in this study, including 1492 samples for </w:t>
      </w:r>
      <w:r w:rsidR="00971144">
        <w:rPr>
          <w:rFonts w:ascii="Times New Roman" w:eastAsia="標楷體" w:hAnsi="Times New Roman"/>
          <w:sz w:val="28"/>
          <w:szCs w:val="24"/>
        </w:rPr>
        <w:t>porcine pseudorabies</w:t>
      </w:r>
      <w:r w:rsidR="000D35A2">
        <w:rPr>
          <w:rFonts w:ascii="Times New Roman" w:eastAsia="標楷體" w:hAnsi="Times New Roman"/>
          <w:sz w:val="28"/>
          <w:szCs w:val="24"/>
        </w:rPr>
        <w:t xml:space="preserve"> (</w:t>
      </w:r>
      <w:r w:rsidR="00545B45" w:rsidRPr="00545B45">
        <w:rPr>
          <w:rFonts w:ascii="Times New Roman" w:eastAsia="標楷體" w:hAnsi="Times New Roman"/>
          <w:sz w:val="28"/>
          <w:szCs w:val="24"/>
        </w:rPr>
        <w:t>PR</w:t>
      </w:r>
      <w:r w:rsidR="000D35A2">
        <w:rPr>
          <w:rFonts w:ascii="Times New Roman" w:eastAsia="標楷體" w:hAnsi="Times New Roman"/>
          <w:sz w:val="28"/>
          <w:szCs w:val="24"/>
        </w:rPr>
        <w:t>)</w:t>
      </w:r>
      <w:r w:rsidR="00545B45" w:rsidRPr="00545B45">
        <w:rPr>
          <w:rFonts w:ascii="Times New Roman" w:eastAsia="標楷體" w:hAnsi="Times New Roman"/>
          <w:sz w:val="28"/>
          <w:szCs w:val="24"/>
        </w:rPr>
        <w:t>, 308 samples for</w:t>
      </w:r>
      <w:r w:rsidR="000D35A2">
        <w:rPr>
          <w:rFonts w:ascii="Times New Roman" w:eastAsia="標楷體" w:hAnsi="Times New Roman"/>
          <w:sz w:val="28"/>
          <w:szCs w:val="24"/>
        </w:rPr>
        <w:t xml:space="preserve"> porcine reproductive and respiratory virus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0D35A2">
        <w:rPr>
          <w:rFonts w:ascii="Times New Roman" w:eastAsia="標楷體" w:hAnsi="Times New Roman"/>
          <w:sz w:val="28"/>
          <w:szCs w:val="24"/>
        </w:rPr>
        <w:t>(</w:t>
      </w:r>
      <w:r w:rsidR="00545B45" w:rsidRPr="00545B45">
        <w:rPr>
          <w:rFonts w:ascii="Times New Roman" w:eastAsia="標楷體" w:hAnsi="Times New Roman"/>
          <w:sz w:val="28"/>
          <w:szCs w:val="24"/>
        </w:rPr>
        <w:t>PRRS</w:t>
      </w:r>
      <w:r w:rsidR="000D35A2">
        <w:rPr>
          <w:rFonts w:ascii="Times New Roman" w:eastAsia="標楷體" w:hAnsi="Times New Roman"/>
          <w:sz w:val="28"/>
          <w:szCs w:val="24"/>
        </w:rPr>
        <w:t>V)</w:t>
      </w:r>
      <w:r w:rsidR="00545B45" w:rsidRPr="00545B45">
        <w:rPr>
          <w:rFonts w:ascii="Times New Roman" w:eastAsia="標楷體" w:hAnsi="Times New Roman"/>
          <w:sz w:val="28"/>
          <w:szCs w:val="24"/>
        </w:rPr>
        <w:t>, 308 samples for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0D35A2">
        <w:rPr>
          <w:rFonts w:ascii="Times New Roman" w:eastAsia="標楷體" w:hAnsi="Times New Roman"/>
          <w:sz w:val="28"/>
          <w:szCs w:val="24"/>
        </w:rPr>
        <w:t>porcin</w:t>
      </w:r>
      <w:bookmarkStart w:id="0" w:name="_GoBack"/>
      <w:bookmarkEnd w:id="0"/>
      <w:r w:rsidR="000D35A2">
        <w:rPr>
          <w:rFonts w:ascii="Times New Roman" w:eastAsia="標楷體" w:hAnsi="Times New Roman"/>
          <w:sz w:val="28"/>
          <w:szCs w:val="24"/>
        </w:rPr>
        <w:t>e circovirus type 2 (</w:t>
      </w:r>
      <w:r w:rsidR="00545B45" w:rsidRPr="00545B45">
        <w:rPr>
          <w:rFonts w:ascii="Times New Roman" w:eastAsia="標楷體" w:hAnsi="Times New Roman"/>
          <w:sz w:val="28"/>
          <w:szCs w:val="24"/>
        </w:rPr>
        <w:t>PCV2</w:t>
      </w:r>
      <w:r w:rsidR="000D35A2">
        <w:rPr>
          <w:rFonts w:ascii="Times New Roman" w:eastAsia="標楷體" w:hAnsi="Times New Roman"/>
          <w:sz w:val="28"/>
          <w:szCs w:val="24"/>
        </w:rPr>
        <w:t>)</w:t>
      </w:r>
      <w:r w:rsidR="00545B45" w:rsidRPr="00545B45">
        <w:rPr>
          <w:rFonts w:ascii="Times New Roman" w:eastAsia="標楷體" w:hAnsi="Times New Roman"/>
          <w:sz w:val="28"/>
          <w:szCs w:val="24"/>
        </w:rPr>
        <w:t>, 308 samples for</w:t>
      </w:r>
      <w:r w:rsidR="00C47E71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971144">
        <w:rPr>
          <w:rFonts w:ascii="Times New Roman" w:eastAsia="標楷體" w:hAnsi="Times New Roman"/>
          <w:sz w:val="28"/>
          <w:szCs w:val="24"/>
        </w:rPr>
        <w:t>hog cholera (</w:t>
      </w:r>
      <w:r w:rsidR="00545B45" w:rsidRPr="00545B45">
        <w:rPr>
          <w:rFonts w:ascii="Times New Roman" w:eastAsia="標楷體" w:hAnsi="Times New Roman"/>
          <w:sz w:val="28"/>
          <w:szCs w:val="24"/>
        </w:rPr>
        <w:t>HC</w:t>
      </w:r>
      <w:r w:rsidR="00971144">
        <w:rPr>
          <w:rFonts w:ascii="Times New Roman" w:eastAsia="標楷體" w:hAnsi="Times New Roman"/>
          <w:sz w:val="28"/>
          <w:szCs w:val="24"/>
        </w:rPr>
        <w:t>)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, and 26 samples for </w:t>
      </w:r>
      <w:r w:rsidR="00971144">
        <w:rPr>
          <w:rFonts w:ascii="Times New Roman" w:eastAsia="標楷體" w:hAnsi="Times New Roman"/>
          <w:sz w:val="28"/>
          <w:szCs w:val="24"/>
        </w:rPr>
        <w:t>porcine epidemic diarrhea virus (</w:t>
      </w:r>
      <w:r w:rsidR="00545B45" w:rsidRPr="00545B45">
        <w:rPr>
          <w:rFonts w:ascii="Times New Roman" w:eastAsia="標楷體" w:hAnsi="Times New Roman"/>
          <w:sz w:val="28"/>
          <w:szCs w:val="24"/>
        </w:rPr>
        <w:t>PED</w:t>
      </w:r>
      <w:r w:rsidR="00971144">
        <w:rPr>
          <w:rFonts w:ascii="Times New Roman" w:eastAsia="標楷體" w:hAnsi="Times New Roman"/>
          <w:sz w:val="28"/>
          <w:szCs w:val="24"/>
        </w:rPr>
        <w:t>V)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. </w:t>
      </w:r>
      <w:r w:rsidR="00971144">
        <w:rPr>
          <w:rFonts w:ascii="Times New Roman" w:eastAsia="標楷體" w:hAnsi="Times New Roman"/>
          <w:sz w:val="28"/>
          <w:szCs w:val="24"/>
        </w:rPr>
        <w:t>Furthermore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 42 samples </w:t>
      </w:r>
      <w:r w:rsidR="001E1906">
        <w:rPr>
          <w:rFonts w:ascii="Times New Roman" w:eastAsia="標楷體" w:hAnsi="Times New Roman"/>
          <w:sz w:val="28"/>
          <w:szCs w:val="24"/>
        </w:rPr>
        <w:t>tested positive for viral infection using</w:t>
      </w:r>
      <w:r w:rsidR="00971144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971144">
        <w:rPr>
          <w:rFonts w:ascii="Times New Roman" w:eastAsia="標楷體" w:hAnsi="Times New Roman"/>
          <w:sz w:val="28"/>
          <w:szCs w:val="24"/>
        </w:rPr>
        <w:t xml:space="preserve">standard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PCR </w:t>
      </w:r>
      <w:r w:rsidR="00971144">
        <w:rPr>
          <w:rFonts w:ascii="Times New Roman" w:eastAsia="標楷體" w:hAnsi="Times New Roman"/>
          <w:sz w:val="28"/>
          <w:szCs w:val="24"/>
        </w:rPr>
        <w:t>screening</w:t>
      </w:r>
      <w:r w:rsidR="001E1906">
        <w:rPr>
          <w:rFonts w:ascii="Times New Roman" w:eastAsia="標楷體" w:hAnsi="Times New Roman"/>
          <w:sz w:val="28"/>
          <w:szCs w:val="24"/>
        </w:rPr>
        <w:t>s</w:t>
      </w:r>
      <w:r w:rsidR="00545B45" w:rsidRPr="00545B45">
        <w:rPr>
          <w:rFonts w:ascii="Times New Roman" w:eastAsia="標楷體" w:hAnsi="Times New Roman"/>
          <w:sz w:val="28"/>
          <w:szCs w:val="24"/>
        </w:rPr>
        <w:t>. We detected one positive sample for</w:t>
      </w:r>
      <w:r w:rsidR="00545B45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coronavirus, 7 positive samples for PCV2, 12 positive samples for PRRS,</w:t>
      </w:r>
      <w:r w:rsidR="00545B45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and 16 positive samples for </w:t>
      </w:r>
      <w:r w:rsidR="001E1906">
        <w:rPr>
          <w:rFonts w:ascii="Times New Roman" w:eastAsia="標楷體" w:hAnsi="Times New Roman"/>
          <w:sz w:val="28"/>
          <w:szCs w:val="24"/>
        </w:rPr>
        <w:t>PEDV</w:t>
      </w:r>
      <w:r w:rsidR="00545B45" w:rsidRPr="00545B45">
        <w:rPr>
          <w:rFonts w:ascii="Times New Roman" w:eastAsia="標楷體" w:hAnsi="Times New Roman"/>
          <w:sz w:val="28"/>
          <w:szCs w:val="24"/>
        </w:rPr>
        <w:t>. In addition</w:t>
      </w:r>
      <w:r w:rsidR="00545B45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to using serum neutralizing antibody test</w:t>
      </w:r>
      <w:r w:rsidR="001E1906">
        <w:rPr>
          <w:rFonts w:ascii="Times New Roman" w:eastAsia="標楷體" w:hAnsi="Times New Roman"/>
          <w:sz w:val="28"/>
          <w:szCs w:val="24"/>
        </w:rPr>
        <w:t>s</w:t>
      </w:r>
      <w:r w:rsidR="00545B45" w:rsidRPr="00545B45">
        <w:rPr>
          <w:rFonts w:ascii="Times New Roman" w:eastAsia="標楷體" w:hAnsi="Times New Roman"/>
          <w:sz w:val="28"/>
          <w:szCs w:val="24"/>
        </w:rPr>
        <w:t>, this program also utilized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commercially available kit</w:t>
      </w:r>
      <w:r w:rsidR="00D70491">
        <w:rPr>
          <w:rFonts w:ascii="Times New Roman" w:eastAsia="標楷體" w:hAnsi="Times New Roman"/>
          <w:sz w:val="28"/>
          <w:szCs w:val="24"/>
        </w:rPr>
        <w:t>s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 for the detection of specific antibodies.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1E1906">
        <w:rPr>
          <w:rFonts w:ascii="Times New Roman" w:eastAsia="標楷體" w:hAnsi="Times New Roman"/>
          <w:sz w:val="28"/>
          <w:szCs w:val="24"/>
        </w:rPr>
        <w:t>Moreover</w:t>
      </w:r>
      <w:r w:rsidR="00545B45" w:rsidRPr="00545B45">
        <w:rPr>
          <w:rFonts w:ascii="Times New Roman" w:eastAsia="標楷體" w:hAnsi="Times New Roman"/>
          <w:sz w:val="28"/>
          <w:szCs w:val="24"/>
        </w:rPr>
        <w:t>, we use</w:t>
      </w:r>
      <w:r w:rsidR="001E1906">
        <w:rPr>
          <w:rFonts w:ascii="Times New Roman" w:eastAsia="標楷體" w:hAnsi="Times New Roman"/>
          <w:sz w:val="28"/>
          <w:szCs w:val="24"/>
        </w:rPr>
        <w:t>d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 molecular biotechnology </w:t>
      </w:r>
      <w:r w:rsidR="001E1906">
        <w:rPr>
          <w:rFonts w:ascii="Times New Roman" w:eastAsia="標楷體" w:hAnsi="Times New Roman"/>
          <w:sz w:val="28"/>
          <w:szCs w:val="24"/>
        </w:rPr>
        <w:t xml:space="preserve">methods </w:t>
      </w:r>
      <w:r w:rsidR="00545B45" w:rsidRPr="00545B45">
        <w:rPr>
          <w:rFonts w:ascii="Times New Roman" w:eastAsia="標楷體" w:hAnsi="Times New Roman"/>
          <w:sz w:val="28"/>
          <w:szCs w:val="24"/>
        </w:rPr>
        <w:t>to produce recombinant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proteins for coating antigen</w:t>
      </w:r>
      <w:r w:rsidR="001E1906">
        <w:rPr>
          <w:rFonts w:ascii="Times New Roman" w:eastAsia="標楷體" w:hAnsi="Times New Roman"/>
          <w:sz w:val="28"/>
          <w:szCs w:val="24"/>
        </w:rPr>
        <w:t>s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1E1906">
        <w:rPr>
          <w:rFonts w:ascii="Times New Roman" w:eastAsia="標楷體" w:hAnsi="Times New Roman"/>
          <w:sz w:val="28"/>
          <w:szCs w:val="24"/>
        </w:rPr>
        <w:t>for</w:t>
      </w:r>
      <w:r w:rsidR="001E1906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ELISA. These methods enabled </w:t>
      </w:r>
      <w:r w:rsidR="001E1906">
        <w:rPr>
          <w:rFonts w:ascii="Times New Roman" w:eastAsia="標楷體" w:hAnsi="Times New Roman"/>
          <w:sz w:val="28"/>
          <w:szCs w:val="24"/>
        </w:rPr>
        <w:t xml:space="preserve">us </w:t>
      </w:r>
      <w:r w:rsidR="00545B45" w:rsidRPr="00545B45">
        <w:rPr>
          <w:rFonts w:ascii="Times New Roman" w:eastAsia="標楷體" w:hAnsi="Times New Roman"/>
          <w:sz w:val="28"/>
          <w:szCs w:val="24"/>
        </w:rPr>
        <w:t>to detect more specific antibodies in order to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CE7A9F">
        <w:rPr>
          <w:rFonts w:ascii="Times New Roman" w:eastAsia="標楷體" w:hAnsi="Times New Roman"/>
          <w:sz w:val="28"/>
          <w:szCs w:val="24"/>
        </w:rPr>
        <w:t>more</w:t>
      </w:r>
      <w:r w:rsidR="00CE7A9F" w:rsidRPr="00545B45">
        <w:rPr>
          <w:rFonts w:ascii="Times New Roman" w:eastAsia="標楷體" w:hAnsi="Times New Roman"/>
          <w:sz w:val="28"/>
          <w:szCs w:val="24"/>
        </w:rPr>
        <w:t xml:space="preserve"> precis</w:t>
      </w:r>
      <w:r w:rsidR="00CE7A9F">
        <w:rPr>
          <w:rFonts w:ascii="Times New Roman" w:eastAsia="標楷體" w:hAnsi="Times New Roman"/>
          <w:sz w:val="28"/>
          <w:szCs w:val="24"/>
        </w:rPr>
        <w:t>ely</w:t>
      </w:r>
      <w:r w:rsidR="00CE7A9F" w:rsidRPr="00545B45">
        <w:rPr>
          <w:rFonts w:ascii="Times New Roman" w:eastAsia="標楷體" w:hAnsi="Times New Roman"/>
          <w:sz w:val="28"/>
          <w:szCs w:val="24"/>
        </w:rPr>
        <w:t xml:space="preserve"> immun</w:t>
      </w:r>
      <w:r w:rsidR="00CE7A9F">
        <w:rPr>
          <w:rFonts w:ascii="Times New Roman" w:eastAsia="標楷體" w:hAnsi="Times New Roman"/>
          <w:sz w:val="28"/>
          <w:szCs w:val="24"/>
        </w:rPr>
        <w:t>e response</w:t>
      </w:r>
      <w:r w:rsidR="00CE7A9F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CE7A9F">
        <w:rPr>
          <w:rFonts w:ascii="Times New Roman" w:eastAsia="標楷體" w:hAnsi="Times New Roman"/>
          <w:sz w:val="28"/>
          <w:szCs w:val="24"/>
        </w:rPr>
        <w:t>to the various</w:t>
      </w:r>
      <w:r w:rsidR="00CE7A9F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vaccination programs. </w:t>
      </w:r>
      <w:r w:rsidR="00CE7A9F">
        <w:rPr>
          <w:rFonts w:ascii="Times New Roman" w:eastAsia="標楷體" w:hAnsi="Times New Roman"/>
          <w:sz w:val="28"/>
          <w:szCs w:val="24"/>
        </w:rPr>
        <w:t>In addition</w:t>
      </w:r>
      <w:r w:rsidR="00545B45" w:rsidRPr="00545B45">
        <w:rPr>
          <w:rFonts w:ascii="Times New Roman" w:eastAsia="標楷體" w:hAnsi="Times New Roman"/>
          <w:sz w:val="28"/>
          <w:szCs w:val="24"/>
        </w:rPr>
        <w:t>, the use of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customized diagnostic services and standard</w:t>
      </w:r>
      <w:r w:rsidR="00CE7A9F">
        <w:rPr>
          <w:rFonts w:ascii="Times New Roman" w:eastAsia="標楷體" w:hAnsi="Times New Roman"/>
          <w:sz w:val="28"/>
          <w:szCs w:val="24"/>
        </w:rPr>
        <w:t xml:space="preserve"> blood collection efforts </w:t>
      </w:r>
      <w:r w:rsidR="00545B45" w:rsidRPr="00545B45">
        <w:rPr>
          <w:rFonts w:ascii="Times New Roman" w:eastAsia="標楷體" w:hAnsi="Times New Roman"/>
          <w:sz w:val="28"/>
          <w:szCs w:val="24"/>
        </w:rPr>
        <w:t>can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be an effective </w:t>
      </w:r>
      <w:r w:rsidR="00CE7A9F">
        <w:rPr>
          <w:rFonts w:ascii="Times New Roman" w:eastAsia="標楷體" w:hAnsi="Times New Roman"/>
          <w:sz w:val="28"/>
          <w:szCs w:val="24"/>
        </w:rPr>
        <w:t>monitor</w:t>
      </w:r>
      <w:r w:rsidR="00CE7A9F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of infection </w:t>
      </w:r>
      <w:r w:rsidR="00CE7A9F">
        <w:rPr>
          <w:rFonts w:ascii="Times New Roman" w:eastAsia="標楷體" w:hAnsi="Times New Roman"/>
          <w:sz w:val="28"/>
          <w:szCs w:val="24"/>
        </w:rPr>
        <w:t>as well as provide an effective</w:t>
      </w:r>
      <w:r w:rsidR="00CE7A9F" w:rsidRPr="00545B45">
        <w:rPr>
          <w:rFonts w:ascii="Times New Roman" w:eastAsia="標楷體" w:hAnsi="Times New Roman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observation of antibody titer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distribution curve</w:t>
      </w:r>
      <w:r w:rsidR="00CE7A9F">
        <w:rPr>
          <w:rFonts w:ascii="Times New Roman" w:eastAsia="標楷體" w:hAnsi="Times New Roman"/>
          <w:sz w:val="28"/>
          <w:szCs w:val="24"/>
        </w:rPr>
        <w:t>s</w:t>
      </w:r>
      <w:r w:rsidR="00545B45" w:rsidRPr="00545B45">
        <w:rPr>
          <w:rFonts w:ascii="Times New Roman" w:eastAsia="標楷體" w:hAnsi="Times New Roman"/>
          <w:sz w:val="28"/>
          <w:szCs w:val="24"/>
        </w:rPr>
        <w:t>.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>The optimal age of inoculation</w:t>
      </w:r>
      <w:r w:rsidR="00605D0F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545B45" w:rsidRPr="00545B45">
        <w:rPr>
          <w:rFonts w:ascii="Times New Roman" w:eastAsia="標楷體" w:hAnsi="Times New Roman"/>
          <w:sz w:val="28"/>
          <w:szCs w:val="24"/>
        </w:rPr>
        <w:t xml:space="preserve">was estimated by assessing the risk of a specific disease or the immune response after vaccination. </w:t>
      </w:r>
    </w:p>
    <w:sectPr w:rsidR="00545B45" w:rsidRPr="00545B45" w:rsidSect="006C2B2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2E" w:rsidRDefault="0038772E" w:rsidP="00507174">
      <w:r>
        <w:separator/>
      </w:r>
    </w:p>
  </w:endnote>
  <w:endnote w:type="continuationSeparator" w:id="0">
    <w:p w:rsidR="0038772E" w:rsidRDefault="0038772E" w:rsidP="0050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M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2E" w:rsidRDefault="0038772E" w:rsidP="00507174">
      <w:r>
        <w:separator/>
      </w:r>
    </w:p>
  </w:footnote>
  <w:footnote w:type="continuationSeparator" w:id="0">
    <w:p w:rsidR="0038772E" w:rsidRDefault="0038772E" w:rsidP="0050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85"/>
    <w:rsid w:val="000225B8"/>
    <w:rsid w:val="00033E4A"/>
    <w:rsid w:val="00065043"/>
    <w:rsid w:val="000C00F3"/>
    <w:rsid w:val="000D35A2"/>
    <w:rsid w:val="00131115"/>
    <w:rsid w:val="00133AF3"/>
    <w:rsid w:val="00142EE3"/>
    <w:rsid w:val="001E1906"/>
    <w:rsid w:val="001E2F1B"/>
    <w:rsid w:val="001F4DAA"/>
    <w:rsid w:val="00220924"/>
    <w:rsid w:val="00222AD6"/>
    <w:rsid w:val="0022749A"/>
    <w:rsid w:val="00233E87"/>
    <w:rsid w:val="002521B7"/>
    <w:rsid w:val="002625B0"/>
    <w:rsid w:val="0027149E"/>
    <w:rsid w:val="002C1B64"/>
    <w:rsid w:val="0036216A"/>
    <w:rsid w:val="0038772E"/>
    <w:rsid w:val="003C2D85"/>
    <w:rsid w:val="003D1732"/>
    <w:rsid w:val="004217FC"/>
    <w:rsid w:val="00482A1F"/>
    <w:rsid w:val="004A433C"/>
    <w:rsid w:val="004B048E"/>
    <w:rsid w:val="004C2B17"/>
    <w:rsid w:val="004C5ABF"/>
    <w:rsid w:val="004E7816"/>
    <w:rsid w:val="004F5ABE"/>
    <w:rsid w:val="00507174"/>
    <w:rsid w:val="00511C19"/>
    <w:rsid w:val="0052054D"/>
    <w:rsid w:val="00545B45"/>
    <w:rsid w:val="00554B72"/>
    <w:rsid w:val="00561F5B"/>
    <w:rsid w:val="005627C5"/>
    <w:rsid w:val="00596D90"/>
    <w:rsid w:val="00603CB4"/>
    <w:rsid w:val="00605D0F"/>
    <w:rsid w:val="00643667"/>
    <w:rsid w:val="00653530"/>
    <w:rsid w:val="00672901"/>
    <w:rsid w:val="006A1F8D"/>
    <w:rsid w:val="006B1A06"/>
    <w:rsid w:val="006C2B26"/>
    <w:rsid w:val="007138CC"/>
    <w:rsid w:val="00766E1B"/>
    <w:rsid w:val="007A78C3"/>
    <w:rsid w:val="007E52A0"/>
    <w:rsid w:val="007E61F2"/>
    <w:rsid w:val="00804676"/>
    <w:rsid w:val="00820861"/>
    <w:rsid w:val="00866DE1"/>
    <w:rsid w:val="008750B5"/>
    <w:rsid w:val="008750E6"/>
    <w:rsid w:val="0088497A"/>
    <w:rsid w:val="008A50CF"/>
    <w:rsid w:val="008C280F"/>
    <w:rsid w:val="008F3DF4"/>
    <w:rsid w:val="009408DF"/>
    <w:rsid w:val="00971144"/>
    <w:rsid w:val="009D72BD"/>
    <w:rsid w:val="009E0E97"/>
    <w:rsid w:val="00A16EF3"/>
    <w:rsid w:val="00A43459"/>
    <w:rsid w:val="00A800DC"/>
    <w:rsid w:val="00AB100F"/>
    <w:rsid w:val="00AF2A46"/>
    <w:rsid w:val="00B26A5C"/>
    <w:rsid w:val="00B36E7D"/>
    <w:rsid w:val="00B74612"/>
    <w:rsid w:val="00BE36FE"/>
    <w:rsid w:val="00BE52AE"/>
    <w:rsid w:val="00C20CEC"/>
    <w:rsid w:val="00C2573A"/>
    <w:rsid w:val="00C3723B"/>
    <w:rsid w:val="00C47E71"/>
    <w:rsid w:val="00C70D99"/>
    <w:rsid w:val="00C72DCE"/>
    <w:rsid w:val="00C81399"/>
    <w:rsid w:val="00CA5CC9"/>
    <w:rsid w:val="00CB125D"/>
    <w:rsid w:val="00CE38EE"/>
    <w:rsid w:val="00CE7A9F"/>
    <w:rsid w:val="00D0277D"/>
    <w:rsid w:val="00D0636E"/>
    <w:rsid w:val="00D070D8"/>
    <w:rsid w:val="00D51585"/>
    <w:rsid w:val="00D564B9"/>
    <w:rsid w:val="00D70491"/>
    <w:rsid w:val="00DC347D"/>
    <w:rsid w:val="00EA20FB"/>
    <w:rsid w:val="00EA2C95"/>
    <w:rsid w:val="00F43290"/>
    <w:rsid w:val="00F5744B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C73526-C86D-4C54-9160-2515AE22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71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7174"/>
    <w:rPr>
      <w:sz w:val="20"/>
      <w:szCs w:val="20"/>
    </w:rPr>
  </w:style>
  <w:style w:type="paragraph" w:styleId="a7">
    <w:name w:val="Revision"/>
    <w:hidden/>
    <w:uiPriority w:val="99"/>
    <w:semiHidden/>
    <w:rsid w:val="004B048E"/>
  </w:style>
  <w:style w:type="paragraph" w:styleId="a8">
    <w:name w:val="Balloon Text"/>
    <w:basedOn w:val="a"/>
    <w:link w:val="a9"/>
    <w:uiPriority w:val="99"/>
    <w:semiHidden/>
    <w:unhideWhenUsed/>
    <w:rsid w:val="004B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F0F44-3D8D-4A0A-84A3-93A06513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LCHUNG</dc:creator>
  <cp:lastModifiedBy>Ling-Chu Hung</cp:lastModifiedBy>
  <cp:revision>4</cp:revision>
  <dcterms:created xsi:type="dcterms:W3CDTF">2017-06-16T08:34:00Z</dcterms:created>
  <dcterms:modified xsi:type="dcterms:W3CDTF">2017-06-16T08:48:00Z</dcterms:modified>
</cp:coreProperties>
</file>